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25BE6" w14:textId="5ADFB0C2" w:rsidR="007D48B6" w:rsidRPr="00F2183F" w:rsidRDefault="00F2183F" w:rsidP="00EE4119">
      <w:pPr>
        <w:pBdr>
          <w:bottom w:val="single" w:sz="4" w:space="4" w:color="auto"/>
        </w:pBdr>
        <w:shd w:val="clear" w:color="auto" w:fill="D6E3BC" w:themeFill="accent3" w:themeFillTint="66"/>
        <w:tabs>
          <w:tab w:val="right" w:pos="10440"/>
        </w:tabs>
        <w:spacing w:after="0" w:line="240" w:lineRule="auto"/>
        <w:rPr>
          <w:rFonts w:asciiTheme="majorHAnsi" w:hAnsiTheme="majorHAnsi" w:cs="Tahoma"/>
          <w:b/>
          <w:iCs/>
          <w:color w:val="000000"/>
          <w:sz w:val="28"/>
          <w:szCs w:val="32"/>
          <w:lang w:val="en-GB"/>
        </w:rPr>
      </w:pPr>
      <w:r w:rsidRPr="00F2183F">
        <w:rPr>
          <w:rFonts w:asciiTheme="majorHAnsi" w:hAnsiTheme="majorHAnsi" w:cs="Tahoma"/>
          <w:b/>
          <w:iCs/>
          <w:color w:val="000000"/>
          <w:sz w:val="36"/>
          <w:szCs w:val="36"/>
          <w:lang w:val="en-GB"/>
        </w:rPr>
        <w:t xml:space="preserve">Samuel </w:t>
      </w:r>
      <w:r w:rsidR="00245348">
        <w:rPr>
          <w:rFonts w:asciiTheme="majorHAnsi" w:hAnsiTheme="majorHAnsi" w:cs="Tahoma"/>
          <w:b/>
          <w:iCs/>
          <w:color w:val="000000"/>
          <w:sz w:val="36"/>
          <w:szCs w:val="36"/>
          <w:lang w:val="en-GB"/>
        </w:rPr>
        <w:t>Jackson</w:t>
      </w:r>
      <w:r w:rsidRPr="00F2183F">
        <w:rPr>
          <w:rFonts w:asciiTheme="majorHAnsi" w:hAnsiTheme="majorHAnsi" w:cs="Tahoma"/>
          <w:b/>
          <w:iCs/>
          <w:color w:val="000000"/>
          <w:sz w:val="36"/>
          <w:szCs w:val="36"/>
          <w:lang w:val="en-GB"/>
        </w:rPr>
        <w:t>, ACCA</w:t>
      </w:r>
      <w:r w:rsidR="003872B7" w:rsidRPr="00F2183F">
        <w:rPr>
          <w:rFonts w:asciiTheme="majorHAnsi" w:hAnsiTheme="majorHAnsi" w:cs="Tahoma"/>
          <w:b/>
          <w:iCs/>
          <w:color w:val="000000"/>
          <w:sz w:val="32"/>
          <w:szCs w:val="32"/>
          <w:lang w:val="en-GB"/>
        </w:rPr>
        <w:tab/>
      </w:r>
      <w:r w:rsidR="00E8073B">
        <w:rPr>
          <w:rFonts w:asciiTheme="majorHAnsi" w:hAnsiTheme="majorHAnsi" w:cs="Tahoma"/>
          <w:b/>
          <w:iCs/>
          <w:color w:val="000000"/>
          <w:sz w:val="28"/>
          <w:szCs w:val="28"/>
          <w:lang w:val="en-GB"/>
        </w:rPr>
        <w:t xml:space="preserve">Finance </w:t>
      </w:r>
      <w:r w:rsidR="00E8073B" w:rsidRPr="00E8073B">
        <w:rPr>
          <w:rFonts w:asciiTheme="majorHAnsi" w:hAnsiTheme="majorHAnsi" w:cs="Tahoma"/>
          <w:b/>
          <w:iCs/>
          <w:color w:val="000000"/>
          <w:sz w:val="28"/>
          <w:szCs w:val="28"/>
          <w:lang w:val="en-GB"/>
        </w:rPr>
        <w:t>Manager</w:t>
      </w:r>
      <w:r w:rsidR="00FC449A">
        <w:rPr>
          <w:rFonts w:asciiTheme="majorHAnsi" w:hAnsiTheme="majorHAnsi" w:cs="Tahoma"/>
          <w:b/>
          <w:iCs/>
          <w:color w:val="000000"/>
          <w:sz w:val="28"/>
          <w:szCs w:val="28"/>
          <w:lang w:val="en-GB"/>
        </w:rPr>
        <w:t xml:space="preserve"> </w:t>
      </w:r>
    </w:p>
    <w:p w14:paraId="2A1C4040" w14:textId="3FA93EEC" w:rsidR="007D48B6" w:rsidRPr="00F2183F" w:rsidRDefault="00920F3C" w:rsidP="00A87ED7">
      <w:pPr>
        <w:tabs>
          <w:tab w:val="right" w:pos="10440"/>
        </w:tabs>
        <w:spacing w:before="80" w:after="0" w:line="240" w:lineRule="auto"/>
        <w:rPr>
          <w:rFonts w:asciiTheme="minorHAnsi" w:hAnsiTheme="minorHAnsi" w:cstheme="minorHAnsi"/>
          <w:i/>
          <w:sz w:val="21"/>
          <w:szCs w:val="21"/>
          <w:lang w:val="en-GB"/>
        </w:rPr>
      </w:pPr>
      <w:r>
        <w:rPr>
          <w:rFonts w:asciiTheme="minorHAnsi" w:hAnsiTheme="minorHAnsi" w:cstheme="minorHAnsi"/>
          <w:i/>
          <w:iCs/>
          <w:color w:val="000000"/>
          <w:sz w:val="21"/>
          <w:szCs w:val="21"/>
          <w:lang w:val="en-GB"/>
        </w:rPr>
        <w:t>samj</w:t>
      </w:r>
      <w:r w:rsidR="00F2183F" w:rsidRPr="00F2183F">
        <w:rPr>
          <w:rFonts w:asciiTheme="minorHAnsi" w:hAnsiTheme="minorHAnsi" w:cstheme="minorHAnsi"/>
          <w:i/>
          <w:iCs/>
          <w:color w:val="000000"/>
          <w:sz w:val="21"/>
          <w:szCs w:val="21"/>
          <w:lang w:val="en-GB"/>
        </w:rPr>
        <w:t>@gmail.com</w:t>
      </w:r>
      <w:r w:rsidR="008E2F02" w:rsidRPr="00F2183F">
        <w:rPr>
          <w:rFonts w:asciiTheme="minorHAnsi" w:hAnsiTheme="minorHAnsi" w:cstheme="minorHAnsi"/>
          <w:b/>
          <w:i/>
          <w:color w:val="000000"/>
          <w:sz w:val="21"/>
          <w:szCs w:val="21"/>
          <w:lang w:val="en-GB"/>
        </w:rPr>
        <w:t xml:space="preserve"> </w:t>
      </w:r>
      <w:r w:rsidR="008E2F02" w:rsidRPr="00F2183F"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  <w:sym w:font="Symbol" w:char="F0B7"/>
      </w:r>
      <w:r w:rsidR="008E2F02" w:rsidRPr="00F2183F"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  <w:t xml:space="preserve"> </w:t>
      </w:r>
      <w:r>
        <w:rPr>
          <w:rFonts w:asciiTheme="minorHAnsi" w:hAnsiTheme="minorHAnsi" w:cstheme="minorHAnsi"/>
          <w:i/>
          <w:sz w:val="21"/>
          <w:szCs w:val="21"/>
          <w:lang w:val="en-GB"/>
        </w:rPr>
        <w:t>l</w:t>
      </w:r>
      <w:r w:rsidR="00245348" w:rsidRPr="00245348">
        <w:rPr>
          <w:rFonts w:asciiTheme="minorHAnsi" w:hAnsiTheme="minorHAnsi" w:cstheme="minorHAnsi"/>
          <w:i/>
          <w:sz w:val="21"/>
          <w:szCs w:val="21"/>
          <w:lang w:val="en-GB"/>
        </w:rPr>
        <w:t>inkedin.com</w:t>
      </w:r>
      <w:r>
        <w:rPr>
          <w:rFonts w:asciiTheme="minorHAnsi" w:hAnsiTheme="minorHAnsi" w:cstheme="minorHAnsi"/>
          <w:i/>
          <w:sz w:val="21"/>
          <w:szCs w:val="21"/>
          <w:lang w:val="en-GB"/>
        </w:rPr>
        <w:t>/in/</w:t>
      </w:r>
      <w:proofErr w:type="spellStart"/>
      <w:r>
        <w:rPr>
          <w:rFonts w:asciiTheme="minorHAnsi" w:hAnsiTheme="minorHAnsi" w:cstheme="minorHAnsi"/>
          <w:i/>
          <w:sz w:val="21"/>
          <w:szCs w:val="21"/>
          <w:lang w:val="en-GB"/>
        </w:rPr>
        <w:t>s</w:t>
      </w:r>
      <w:r w:rsidR="00245348" w:rsidRPr="00245348">
        <w:rPr>
          <w:rFonts w:asciiTheme="minorHAnsi" w:hAnsiTheme="minorHAnsi" w:cstheme="minorHAnsi"/>
          <w:i/>
          <w:sz w:val="21"/>
          <w:szCs w:val="21"/>
          <w:lang w:val="en-GB"/>
        </w:rPr>
        <w:t>a</w:t>
      </w:r>
      <w:r>
        <w:rPr>
          <w:rFonts w:asciiTheme="minorHAnsi" w:hAnsiTheme="minorHAnsi" w:cstheme="minorHAnsi"/>
          <w:i/>
          <w:sz w:val="21"/>
          <w:szCs w:val="21"/>
          <w:lang w:val="en-GB"/>
        </w:rPr>
        <w:t>m</w:t>
      </w:r>
      <w:proofErr w:type="spellEnd"/>
      <w:r>
        <w:rPr>
          <w:rFonts w:asciiTheme="minorHAnsi" w:hAnsiTheme="minorHAnsi" w:cstheme="minorHAnsi"/>
          <w:i/>
          <w:sz w:val="21"/>
          <w:szCs w:val="21"/>
          <w:lang w:val="en-GB"/>
        </w:rPr>
        <w:t>-j-acca</w:t>
      </w:r>
      <w:r w:rsidR="00245348" w:rsidRPr="00245348">
        <w:rPr>
          <w:rFonts w:asciiTheme="minorHAnsi" w:hAnsiTheme="minorHAnsi" w:cstheme="minorHAnsi"/>
          <w:i/>
          <w:sz w:val="21"/>
          <w:szCs w:val="21"/>
          <w:lang w:val="en-GB"/>
        </w:rPr>
        <w:t>/</w:t>
      </w:r>
      <w:r w:rsidR="00C82BD0" w:rsidRPr="00F2183F">
        <w:rPr>
          <w:rFonts w:asciiTheme="minorHAnsi" w:hAnsiTheme="minorHAnsi" w:cstheme="minorHAnsi"/>
          <w:i/>
          <w:iCs/>
          <w:color w:val="000000"/>
          <w:sz w:val="21"/>
          <w:szCs w:val="21"/>
          <w:lang w:val="en-GB"/>
        </w:rPr>
        <w:tab/>
      </w:r>
      <w:r>
        <w:rPr>
          <w:rFonts w:asciiTheme="minorHAnsi" w:hAnsiTheme="minorHAnsi" w:cstheme="minorHAnsi"/>
          <w:i/>
          <w:sz w:val="21"/>
          <w:szCs w:val="21"/>
          <w:lang w:val="en-GB"/>
        </w:rPr>
        <w:t>7</w:t>
      </w:r>
      <w:r w:rsidR="00815AE1">
        <w:rPr>
          <w:rFonts w:asciiTheme="minorHAnsi" w:hAnsiTheme="minorHAnsi" w:cstheme="minorHAnsi"/>
          <w:i/>
          <w:sz w:val="21"/>
          <w:szCs w:val="21"/>
          <w:lang w:val="en-GB"/>
        </w:rPr>
        <w:t>96</w:t>
      </w:r>
      <w:r w:rsidR="00F2183F" w:rsidRPr="00F2183F">
        <w:rPr>
          <w:rFonts w:asciiTheme="minorHAnsi" w:hAnsiTheme="minorHAnsi" w:cstheme="minorHAnsi"/>
          <w:i/>
          <w:sz w:val="21"/>
          <w:szCs w:val="21"/>
          <w:lang w:val="en-GB"/>
        </w:rPr>
        <w:t>-</w:t>
      </w:r>
      <w:r w:rsidR="00815AE1">
        <w:rPr>
          <w:rFonts w:asciiTheme="minorHAnsi" w:hAnsiTheme="minorHAnsi" w:cstheme="minorHAnsi"/>
          <w:i/>
          <w:sz w:val="21"/>
          <w:szCs w:val="21"/>
          <w:lang w:val="en-GB"/>
        </w:rPr>
        <w:t>159</w:t>
      </w:r>
      <w:r w:rsidR="00F2183F" w:rsidRPr="00F2183F">
        <w:rPr>
          <w:rFonts w:asciiTheme="minorHAnsi" w:hAnsiTheme="minorHAnsi" w:cstheme="minorHAnsi"/>
          <w:i/>
          <w:sz w:val="21"/>
          <w:szCs w:val="21"/>
          <w:lang w:val="en-GB"/>
        </w:rPr>
        <w:t>-</w:t>
      </w:r>
      <w:r w:rsidR="00815AE1">
        <w:rPr>
          <w:rFonts w:asciiTheme="minorHAnsi" w:hAnsiTheme="minorHAnsi" w:cstheme="minorHAnsi"/>
          <w:i/>
          <w:sz w:val="21"/>
          <w:szCs w:val="21"/>
          <w:lang w:val="en-GB"/>
        </w:rPr>
        <w:t>1567</w:t>
      </w:r>
      <w:r w:rsidR="006632E9" w:rsidRPr="00F2183F">
        <w:rPr>
          <w:rFonts w:asciiTheme="minorHAnsi" w:hAnsiTheme="minorHAnsi" w:cstheme="minorHAnsi"/>
          <w:b/>
          <w:i/>
          <w:color w:val="000000"/>
          <w:sz w:val="21"/>
          <w:szCs w:val="21"/>
          <w:lang w:val="en-GB"/>
        </w:rPr>
        <w:t xml:space="preserve"> </w:t>
      </w:r>
      <w:r w:rsidR="006632E9" w:rsidRPr="00F2183F"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  <w:sym w:font="Symbol" w:char="F0B7"/>
      </w:r>
      <w:r w:rsidR="006632E9" w:rsidRPr="00F2183F"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  <w:t xml:space="preserve"> </w:t>
      </w:r>
      <w:r w:rsidR="00815AE1">
        <w:rPr>
          <w:rFonts w:asciiTheme="minorHAnsi" w:hAnsiTheme="minorHAnsi" w:cstheme="minorHAnsi"/>
          <w:i/>
          <w:sz w:val="21"/>
          <w:szCs w:val="21"/>
          <w:lang w:val="en-GB"/>
        </w:rPr>
        <w:t>New York City</w:t>
      </w:r>
      <w:r w:rsidR="00F2183F" w:rsidRPr="00F2183F">
        <w:rPr>
          <w:rFonts w:asciiTheme="minorHAnsi" w:hAnsiTheme="minorHAnsi" w:cstheme="minorHAnsi"/>
          <w:i/>
          <w:sz w:val="21"/>
          <w:szCs w:val="21"/>
          <w:lang w:val="en-GB"/>
        </w:rPr>
        <w:t xml:space="preserve">, </w:t>
      </w:r>
      <w:r w:rsidR="00815AE1">
        <w:rPr>
          <w:rFonts w:asciiTheme="minorHAnsi" w:hAnsiTheme="minorHAnsi" w:cstheme="minorHAnsi"/>
          <w:i/>
          <w:sz w:val="21"/>
          <w:szCs w:val="21"/>
          <w:lang w:val="en-GB"/>
        </w:rPr>
        <w:t>NY</w:t>
      </w:r>
      <w:r w:rsidR="004B6C2E">
        <w:rPr>
          <w:rFonts w:asciiTheme="minorHAnsi" w:hAnsiTheme="minorHAnsi" w:cstheme="minorHAnsi"/>
          <w:i/>
          <w:sz w:val="21"/>
          <w:szCs w:val="21"/>
          <w:lang w:val="en-GB"/>
        </w:rPr>
        <w:t>, 4963</w:t>
      </w:r>
    </w:p>
    <w:p w14:paraId="18AA4E7F" w14:textId="58D634CC" w:rsidR="005959E9" w:rsidRPr="00051AD5" w:rsidRDefault="00A24A05" w:rsidP="00A578D5">
      <w:pPr>
        <w:pStyle w:val="BodyText"/>
        <w:tabs>
          <w:tab w:val="right" w:pos="10800"/>
        </w:tabs>
        <w:spacing w:before="120" w:after="240"/>
        <w:rPr>
          <w:rFonts w:asciiTheme="minorHAnsi" w:hAnsiTheme="minorHAnsi" w:cstheme="minorHAnsi"/>
          <w:b/>
          <w:i/>
          <w:color w:val="000000"/>
          <w:sz w:val="21"/>
          <w:szCs w:val="21"/>
          <w:lang w:val="en-GB"/>
        </w:rPr>
      </w:pPr>
      <w:r w:rsidRPr="00A24A05">
        <w:rPr>
          <w:rFonts w:asciiTheme="minorHAnsi" w:hAnsiTheme="minorHAnsi" w:cstheme="minorHAnsi"/>
          <w:sz w:val="21"/>
          <w:szCs w:val="21"/>
          <w:lang w:val="en-GB"/>
        </w:rPr>
        <w:t>Chartered Accountant with four years’ experience in the financial and accounting management field. Adept at managing cross-border service level agreements and successfully implementing cost-saving measures to achieve strategic accounting goals. Skilled at leading audit teams and co-workers, and driving efficiency and productivity through evaluation of financial management systems and implementation of process improvements. In-depth knowledge of tax legislation and International Financial Rep</w:t>
      </w:r>
      <w:r>
        <w:rPr>
          <w:rFonts w:asciiTheme="minorHAnsi" w:hAnsiTheme="minorHAnsi" w:cstheme="minorHAnsi"/>
          <w:sz w:val="21"/>
          <w:szCs w:val="21"/>
          <w:lang w:val="en-GB"/>
        </w:rPr>
        <w:t>orting Standards</w:t>
      </w:r>
      <w:r w:rsidR="005959E9" w:rsidRPr="001C38A8">
        <w:rPr>
          <w:rFonts w:asciiTheme="minorHAnsi" w:hAnsiTheme="minorHAnsi" w:cstheme="minorHAnsi"/>
          <w:sz w:val="21"/>
          <w:szCs w:val="21"/>
          <w:lang w:val="en-GB"/>
        </w:rPr>
        <w:t>.</w:t>
      </w:r>
      <w:r w:rsidR="001C38A8">
        <w:rPr>
          <w:rFonts w:asciiTheme="minorHAnsi" w:hAnsiTheme="minorHAnsi" w:cstheme="minorHAnsi"/>
          <w:color w:val="000000"/>
          <w:sz w:val="21"/>
          <w:szCs w:val="21"/>
          <w:lang w:val="en-GB"/>
        </w:rPr>
        <w:t xml:space="preserve"> </w:t>
      </w:r>
      <w:r w:rsidR="007D48B6" w:rsidRPr="00920F3C">
        <w:rPr>
          <w:rFonts w:asciiTheme="minorHAnsi" w:hAnsiTheme="minorHAnsi" w:cstheme="minorHAnsi"/>
          <w:b/>
          <w:iCs/>
          <w:color w:val="000000"/>
          <w:sz w:val="21"/>
          <w:szCs w:val="21"/>
          <w:lang w:val="en-GB"/>
        </w:rPr>
        <w:t xml:space="preserve">Areas of </w:t>
      </w:r>
      <w:r w:rsidR="00920F3C">
        <w:rPr>
          <w:rFonts w:asciiTheme="minorHAnsi" w:hAnsiTheme="minorHAnsi" w:cstheme="minorHAnsi"/>
          <w:b/>
          <w:iCs/>
          <w:color w:val="000000"/>
          <w:sz w:val="21"/>
          <w:szCs w:val="21"/>
          <w:lang w:val="en-GB"/>
        </w:rPr>
        <w:t>e</w:t>
      </w:r>
      <w:r w:rsidR="007D48B6" w:rsidRPr="00920F3C">
        <w:rPr>
          <w:rFonts w:asciiTheme="minorHAnsi" w:hAnsiTheme="minorHAnsi" w:cstheme="minorHAnsi"/>
          <w:b/>
          <w:iCs/>
          <w:color w:val="000000"/>
          <w:sz w:val="21"/>
          <w:szCs w:val="21"/>
          <w:lang w:val="en-GB"/>
        </w:rPr>
        <w:t>xpertise include: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491"/>
        <w:gridCol w:w="3490"/>
        <w:gridCol w:w="3488"/>
      </w:tblGrid>
      <w:tr w:rsidR="00B81EA2" w:rsidRPr="008B62E5" w14:paraId="43B69623" w14:textId="77777777" w:rsidTr="005413A8">
        <w:trPr>
          <w:jc w:val="center"/>
        </w:trPr>
        <w:tc>
          <w:tcPr>
            <w:tcW w:w="1667" w:type="pct"/>
          </w:tcPr>
          <w:p w14:paraId="3E72BBE4" w14:textId="22B537BC" w:rsidR="00B81EA2" w:rsidRPr="00E43FFC" w:rsidRDefault="00B81EA2" w:rsidP="00A87ED7">
            <w:pPr>
              <w:pStyle w:val="BodyText"/>
              <w:numPr>
                <w:ilvl w:val="0"/>
                <w:numId w:val="4"/>
              </w:numPr>
              <w:tabs>
                <w:tab w:val="right" w:pos="360"/>
                <w:tab w:val="left" w:pos="11520"/>
              </w:tabs>
              <w:rPr>
                <w:rFonts w:asciiTheme="minorHAnsi" w:hAnsiTheme="minorHAnsi" w:cstheme="minorHAnsi"/>
                <w:spacing w:val="-4"/>
                <w:sz w:val="21"/>
                <w:szCs w:val="21"/>
                <w:lang w:val="en-GB"/>
              </w:rPr>
            </w:pPr>
            <w:r w:rsidRPr="00E43FFC">
              <w:rPr>
                <w:rFonts w:asciiTheme="minorHAnsi" w:hAnsiTheme="minorHAnsi" w:cstheme="minorHAnsi"/>
                <w:spacing w:val="-4"/>
                <w:sz w:val="21"/>
                <w:szCs w:val="21"/>
                <w:lang w:val="en-GB"/>
              </w:rPr>
              <w:t>Corporate Banking</w:t>
            </w:r>
            <w:r w:rsidR="00F57907">
              <w:rPr>
                <w:rFonts w:asciiTheme="minorHAnsi" w:hAnsiTheme="minorHAnsi" w:cstheme="minorHAnsi"/>
                <w:spacing w:val="-4"/>
                <w:sz w:val="21"/>
                <w:szCs w:val="21"/>
                <w:lang w:val="en-GB"/>
              </w:rPr>
              <w:t xml:space="preserve"> Operations</w:t>
            </w:r>
          </w:p>
        </w:tc>
        <w:tc>
          <w:tcPr>
            <w:tcW w:w="1667" w:type="pct"/>
          </w:tcPr>
          <w:p w14:paraId="529EF876" w14:textId="14868733" w:rsidR="00B81EA2" w:rsidRPr="00E43FFC" w:rsidRDefault="00AB4B0E" w:rsidP="00A87ED7">
            <w:pPr>
              <w:pStyle w:val="BodyText"/>
              <w:numPr>
                <w:ilvl w:val="0"/>
                <w:numId w:val="4"/>
              </w:numPr>
              <w:tabs>
                <w:tab w:val="right" w:pos="360"/>
                <w:tab w:val="left" w:pos="11520"/>
              </w:tabs>
              <w:rPr>
                <w:rFonts w:asciiTheme="minorHAnsi" w:hAnsiTheme="minorHAnsi" w:cstheme="minorHAnsi"/>
                <w:spacing w:val="-4"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spacing w:val="-4"/>
                <w:sz w:val="21"/>
                <w:szCs w:val="21"/>
                <w:lang w:val="en-GB"/>
              </w:rPr>
              <w:t>Budget Preparation</w:t>
            </w:r>
            <w:r w:rsidR="008A48D0">
              <w:rPr>
                <w:rFonts w:asciiTheme="minorHAnsi" w:hAnsiTheme="minorHAnsi" w:cstheme="minorHAnsi"/>
                <w:spacing w:val="-4"/>
                <w:sz w:val="21"/>
                <w:szCs w:val="21"/>
                <w:lang w:val="en-GB"/>
              </w:rPr>
              <w:t xml:space="preserve"> &amp; Taxation</w:t>
            </w:r>
          </w:p>
        </w:tc>
        <w:tc>
          <w:tcPr>
            <w:tcW w:w="1666" w:type="pct"/>
          </w:tcPr>
          <w:p w14:paraId="37AEB084" w14:textId="77777777" w:rsidR="00B81EA2" w:rsidRPr="00E43FFC" w:rsidRDefault="00B81EA2" w:rsidP="00A87ED7">
            <w:pPr>
              <w:pStyle w:val="BodyText"/>
              <w:numPr>
                <w:ilvl w:val="0"/>
                <w:numId w:val="4"/>
              </w:numPr>
              <w:tabs>
                <w:tab w:val="right" w:pos="360"/>
                <w:tab w:val="left" w:pos="11520"/>
              </w:tabs>
              <w:rPr>
                <w:rFonts w:asciiTheme="minorHAnsi" w:hAnsiTheme="minorHAnsi" w:cstheme="minorHAnsi"/>
                <w:spacing w:val="-4"/>
                <w:sz w:val="21"/>
                <w:szCs w:val="21"/>
                <w:lang w:val="en-GB"/>
              </w:rPr>
            </w:pPr>
            <w:r w:rsidRPr="00E43FFC">
              <w:rPr>
                <w:rFonts w:asciiTheme="minorHAnsi" w:hAnsiTheme="minorHAnsi" w:cstheme="minorHAnsi"/>
                <w:spacing w:val="-4"/>
                <w:sz w:val="21"/>
                <w:szCs w:val="21"/>
                <w:lang w:val="en-GB"/>
              </w:rPr>
              <w:t>Profit &amp; Revenue Optimisation</w:t>
            </w:r>
          </w:p>
        </w:tc>
      </w:tr>
      <w:tr w:rsidR="00B81EA2" w:rsidRPr="008B62E5" w14:paraId="045ACDD6" w14:textId="77777777" w:rsidTr="005413A8">
        <w:trPr>
          <w:trHeight w:val="100"/>
          <w:jc w:val="center"/>
        </w:trPr>
        <w:tc>
          <w:tcPr>
            <w:tcW w:w="1667" w:type="pct"/>
          </w:tcPr>
          <w:p w14:paraId="4EAAA2EB" w14:textId="3C26B1FF" w:rsidR="00B81EA2" w:rsidRPr="00E43FFC" w:rsidRDefault="00B81EA2" w:rsidP="00A87ED7">
            <w:pPr>
              <w:pStyle w:val="BodyText"/>
              <w:numPr>
                <w:ilvl w:val="0"/>
                <w:numId w:val="4"/>
              </w:numPr>
              <w:tabs>
                <w:tab w:val="right" w:pos="360"/>
                <w:tab w:val="left" w:pos="11520"/>
              </w:tabs>
              <w:rPr>
                <w:rFonts w:asciiTheme="minorHAnsi" w:hAnsiTheme="minorHAnsi" w:cstheme="minorHAnsi"/>
                <w:spacing w:val="-4"/>
                <w:sz w:val="21"/>
                <w:szCs w:val="21"/>
                <w:lang w:val="en-GB"/>
              </w:rPr>
            </w:pPr>
            <w:r w:rsidRPr="00E43FFC">
              <w:rPr>
                <w:rFonts w:asciiTheme="minorHAnsi" w:hAnsiTheme="minorHAnsi" w:cstheme="minorHAnsi"/>
                <w:spacing w:val="-4"/>
                <w:sz w:val="21"/>
                <w:szCs w:val="21"/>
                <w:lang w:val="en-GB"/>
              </w:rPr>
              <w:t xml:space="preserve">Client </w:t>
            </w:r>
            <w:r w:rsidR="00F57907">
              <w:rPr>
                <w:rFonts w:asciiTheme="minorHAnsi" w:hAnsiTheme="minorHAnsi" w:cstheme="minorHAnsi"/>
                <w:spacing w:val="-4"/>
                <w:sz w:val="21"/>
                <w:szCs w:val="21"/>
                <w:lang w:val="en-GB"/>
              </w:rPr>
              <w:t xml:space="preserve">Relationship </w:t>
            </w:r>
            <w:r w:rsidR="00F57907" w:rsidRPr="00E43FFC">
              <w:rPr>
                <w:rFonts w:asciiTheme="minorHAnsi" w:hAnsiTheme="minorHAnsi" w:cstheme="minorHAnsi"/>
                <w:spacing w:val="-4"/>
                <w:sz w:val="21"/>
                <w:szCs w:val="21"/>
                <w:lang w:val="en-GB"/>
              </w:rPr>
              <w:t>Management</w:t>
            </w:r>
          </w:p>
        </w:tc>
        <w:tc>
          <w:tcPr>
            <w:tcW w:w="1667" w:type="pct"/>
          </w:tcPr>
          <w:p w14:paraId="0338E1EC" w14:textId="77777777" w:rsidR="00B81EA2" w:rsidRPr="00E43FFC" w:rsidRDefault="00B81EA2" w:rsidP="00A87ED7">
            <w:pPr>
              <w:pStyle w:val="BodyText"/>
              <w:numPr>
                <w:ilvl w:val="0"/>
                <w:numId w:val="4"/>
              </w:numPr>
              <w:tabs>
                <w:tab w:val="right" w:pos="360"/>
                <w:tab w:val="left" w:pos="11520"/>
              </w:tabs>
              <w:rPr>
                <w:rFonts w:asciiTheme="minorHAnsi" w:hAnsiTheme="minorHAnsi" w:cstheme="minorHAnsi"/>
                <w:spacing w:val="-4"/>
                <w:sz w:val="21"/>
                <w:szCs w:val="21"/>
                <w:lang w:val="en-GB"/>
              </w:rPr>
            </w:pPr>
            <w:r w:rsidRPr="00E43FFC">
              <w:rPr>
                <w:rFonts w:asciiTheme="minorHAnsi" w:hAnsiTheme="minorHAnsi" w:cstheme="minorHAnsi"/>
                <w:spacing w:val="-4"/>
                <w:sz w:val="21"/>
                <w:szCs w:val="21"/>
                <w:lang w:val="en-GB"/>
              </w:rPr>
              <w:t>Transaction Processing</w:t>
            </w:r>
          </w:p>
        </w:tc>
        <w:tc>
          <w:tcPr>
            <w:tcW w:w="1666" w:type="pct"/>
          </w:tcPr>
          <w:p w14:paraId="383FD854" w14:textId="412A8778" w:rsidR="00B81EA2" w:rsidRPr="00E43FFC" w:rsidRDefault="005959E9" w:rsidP="00A87ED7">
            <w:pPr>
              <w:pStyle w:val="BodyText"/>
              <w:numPr>
                <w:ilvl w:val="0"/>
                <w:numId w:val="4"/>
              </w:numPr>
              <w:tabs>
                <w:tab w:val="right" w:pos="360"/>
                <w:tab w:val="left" w:pos="11520"/>
              </w:tabs>
              <w:rPr>
                <w:rFonts w:asciiTheme="minorHAnsi" w:hAnsiTheme="minorHAnsi" w:cstheme="minorHAnsi"/>
                <w:spacing w:val="-4"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spacing w:val="-4"/>
                <w:sz w:val="21"/>
                <w:szCs w:val="21"/>
                <w:lang w:val="en-GB"/>
              </w:rPr>
              <w:t>Superior Customer Service</w:t>
            </w:r>
          </w:p>
        </w:tc>
      </w:tr>
      <w:tr w:rsidR="00B81EA2" w:rsidRPr="008B62E5" w14:paraId="4D02FB9D" w14:textId="77777777" w:rsidTr="005413A8">
        <w:trPr>
          <w:jc w:val="center"/>
        </w:trPr>
        <w:tc>
          <w:tcPr>
            <w:tcW w:w="1667" w:type="pct"/>
          </w:tcPr>
          <w:p w14:paraId="2A974184" w14:textId="42AC4B60" w:rsidR="00B81EA2" w:rsidRPr="00E43FFC" w:rsidRDefault="00B81EA2" w:rsidP="00A87ED7">
            <w:pPr>
              <w:pStyle w:val="BodyText"/>
              <w:numPr>
                <w:ilvl w:val="0"/>
                <w:numId w:val="4"/>
              </w:numPr>
              <w:tabs>
                <w:tab w:val="right" w:pos="360"/>
                <w:tab w:val="left" w:pos="11520"/>
              </w:tabs>
              <w:rPr>
                <w:rFonts w:asciiTheme="minorHAnsi" w:hAnsiTheme="minorHAnsi" w:cstheme="minorHAnsi"/>
                <w:spacing w:val="-4"/>
                <w:sz w:val="21"/>
                <w:szCs w:val="21"/>
                <w:lang w:val="en-GB"/>
              </w:rPr>
            </w:pPr>
            <w:r w:rsidRPr="00E43FFC">
              <w:rPr>
                <w:rFonts w:asciiTheme="minorHAnsi" w:hAnsiTheme="minorHAnsi" w:cstheme="minorHAnsi"/>
                <w:spacing w:val="-4"/>
                <w:sz w:val="21"/>
                <w:szCs w:val="21"/>
                <w:lang w:val="en-GB"/>
              </w:rPr>
              <w:t>Accounts Payable</w:t>
            </w:r>
            <w:r w:rsidR="00AC5F1A" w:rsidRPr="005959E9">
              <w:rPr>
                <w:rFonts w:asciiTheme="minorHAnsi" w:hAnsiTheme="minorHAnsi" w:cstheme="minorHAnsi"/>
                <w:spacing w:val="-4"/>
                <w:sz w:val="21"/>
                <w:szCs w:val="21"/>
                <w:lang w:val="en-GB"/>
              </w:rPr>
              <w:t xml:space="preserve"> &amp; Cost Control</w:t>
            </w:r>
          </w:p>
        </w:tc>
        <w:tc>
          <w:tcPr>
            <w:tcW w:w="1667" w:type="pct"/>
          </w:tcPr>
          <w:p w14:paraId="07B93654" w14:textId="25A55E44" w:rsidR="00B81EA2" w:rsidRPr="00E43FFC" w:rsidRDefault="00051B98" w:rsidP="00A87ED7">
            <w:pPr>
              <w:pStyle w:val="BodyText"/>
              <w:numPr>
                <w:ilvl w:val="0"/>
                <w:numId w:val="4"/>
              </w:numPr>
              <w:tabs>
                <w:tab w:val="right" w:pos="360"/>
                <w:tab w:val="left" w:pos="11520"/>
              </w:tabs>
              <w:rPr>
                <w:rFonts w:asciiTheme="minorHAnsi" w:hAnsiTheme="minorHAnsi" w:cstheme="minorHAnsi"/>
                <w:spacing w:val="-4"/>
                <w:sz w:val="21"/>
                <w:szCs w:val="21"/>
                <w:lang w:val="en-GB"/>
              </w:rPr>
            </w:pPr>
            <w:r w:rsidRPr="00051B98">
              <w:rPr>
                <w:rFonts w:asciiTheme="minorHAnsi" w:hAnsiTheme="minorHAnsi" w:cstheme="minorHAnsi"/>
                <w:spacing w:val="-4"/>
                <w:sz w:val="21"/>
                <w:szCs w:val="21"/>
                <w:lang w:val="en-GB"/>
              </w:rPr>
              <w:t>Staff Training &amp; Leadership</w:t>
            </w:r>
          </w:p>
        </w:tc>
        <w:tc>
          <w:tcPr>
            <w:tcW w:w="1666" w:type="pct"/>
          </w:tcPr>
          <w:p w14:paraId="6765F208" w14:textId="59B04271" w:rsidR="00B81EA2" w:rsidRPr="00E43FFC" w:rsidRDefault="00067785" w:rsidP="00A87ED7">
            <w:pPr>
              <w:pStyle w:val="BodyText"/>
              <w:numPr>
                <w:ilvl w:val="0"/>
                <w:numId w:val="4"/>
              </w:numPr>
              <w:tabs>
                <w:tab w:val="right" w:pos="360"/>
                <w:tab w:val="left" w:pos="11520"/>
              </w:tabs>
              <w:rPr>
                <w:rFonts w:asciiTheme="minorHAnsi" w:hAnsiTheme="minorHAnsi" w:cstheme="minorHAnsi"/>
                <w:spacing w:val="-4"/>
                <w:sz w:val="21"/>
                <w:szCs w:val="21"/>
                <w:lang w:val="en-GB"/>
              </w:rPr>
            </w:pPr>
            <w:r w:rsidRPr="005959E9">
              <w:rPr>
                <w:rFonts w:asciiTheme="minorHAnsi" w:hAnsiTheme="minorHAnsi" w:cstheme="minorHAnsi"/>
                <w:spacing w:val="-4"/>
                <w:sz w:val="21"/>
                <w:szCs w:val="21"/>
                <w:lang w:val="en-GB"/>
              </w:rPr>
              <w:t>Financial Statement Preparation</w:t>
            </w:r>
          </w:p>
        </w:tc>
      </w:tr>
    </w:tbl>
    <w:p w14:paraId="44CAFB4D" w14:textId="2C09634B" w:rsidR="007D48B6" w:rsidRPr="00423B4D" w:rsidRDefault="008B516A" w:rsidP="00EE4119">
      <w:pPr>
        <w:pBdr>
          <w:bottom w:val="inset" w:sz="6" w:space="4" w:color="auto"/>
        </w:pBdr>
        <w:shd w:val="clear" w:color="auto" w:fill="D6E3BC" w:themeFill="accent3" w:themeFillTint="66"/>
        <w:spacing w:before="240" w:after="120" w:line="240" w:lineRule="auto"/>
        <w:jc w:val="center"/>
        <w:rPr>
          <w:rFonts w:asciiTheme="majorHAnsi" w:hAnsiTheme="majorHAnsi" w:cs="Tahoma"/>
          <w:b/>
          <w:color w:val="000000"/>
          <w:spacing w:val="10"/>
          <w:sz w:val="28"/>
          <w:szCs w:val="28"/>
          <w:lang w:val="en-GB"/>
        </w:rPr>
      </w:pPr>
      <w:r>
        <w:rPr>
          <w:rFonts w:asciiTheme="majorHAnsi" w:hAnsiTheme="majorHAnsi" w:cs="Tahoma"/>
          <w:b/>
          <w:color w:val="000000"/>
          <w:spacing w:val="10"/>
          <w:sz w:val="28"/>
          <w:szCs w:val="28"/>
          <w:lang w:val="en-GB"/>
        </w:rPr>
        <w:t xml:space="preserve">Professional </w:t>
      </w:r>
      <w:r w:rsidR="0091234A" w:rsidRPr="00423B4D">
        <w:rPr>
          <w:rFonts w:asciiTheme="majorHAnsi" w:hAnsiTheme="majorHAnsi" w:cs="Tahoma"/>
          <w:b/>
          <w:color w:val="000000"/>
          <w:spacing w:val="10"/>
          <w:sz w:val="28"/>
          <w:szCs w:val="28"/>
          <w:lang w:val="en-GB"/>
        </w:rPr>
        <w:t>Experience</w:t>
      </w:r>
    </w:p>
    <w:p w14:paraId="3A17840D" w14:textId="48222247" w:rsidR="007D48B6" w:rsidRPr="00344DF1" w:rsidRDefault="00A24A05" w:rsidP="00A87ED7">
      <w:pPr>
        <w:pStyle w:val="BodyText"/>
        <w:spacing w:before="240"/>
        <w:jc w:val="center"/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</w:pPr>
      <w:r w:rsidRPr="00344DF1">
        <w:rPr>
          <w:rFonts w:asciiTheme="minorHAnsi" w:hAnsiTheme="minorHAnsi" w:cstheme="minorHAnsi"/>
          <w:b/>
          <w:color w:val="000000"/>
          <w:sz w:val="21"/>
          <w:szCs w:val="21"/>
          <w:lang w:val="en-GB"/>
        </w:rPr>
        <w:t xml:space="preserve">First National Bank Of </w:t>
      </w:r>
      <w:r w:rsidR="00A578D5">
        <w:rPr>
          <w:rFonts w:asciiTheme="minorHAnsi" w:hAnsiTheme="minorHAnsi" w:cstheme="minorHAnsi"/>
          <w:b/>
          <w:color w:val="000000"/>
          <w:sz w:val="21"/>
          <w:szCs w:val="21"/>
          <w:lang w:val="en-GB"/>
        </w:rPr>
        <w:t>Women</w:t>
      </w:r>
      <w:r w:rsidRPr="00344DF1">
        <w:rPr>
          <w:rFonts w:asciiTheme="minorHAnsi" w:hAnsiTheme="minorHAnsi" w:cstheme="minorHAnsi"/>
          <w:b/>
          <w:color w:val="000000"/>
          <w:sz w:val="21"/>
          <w:szCs w:val="21"/>
          <w:lang w:val="en-GB"/>
        </w:rPr>
        <w:t xml:space="preserve"> </w:t>
      </w:r>
      <w:r w:rsidR="007D48B6" w:rsidRPr="00344DF1"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  <w:sym w:font="Symbol" w:char="F0B7"/>
      </w:r>
      <w:r w:rsidR="007D48B6" w:rsidRPr="00344DF1">
        <w:rPr>
          <w:rFonts w:asciiTheme="minorHAnsi" w:hAnsiTheme="minorHAnsi" w:cstheme="minorHAnsi"/>
          <w:color w:val="000000"/>
          <w:sz w:val="21"/>
          <w:szCs w:val="21"/>
          <w:lang w:val="en-GB"/>
        </w:rPr>
        <w:t xml:space="preserve"> </w:t>
      </w:r>
      <w:r w:rsidR="008E3E23" w:rsidRPr="008E3E23">
        <w:rPr>
          <w:rFonts w:asciiTheme="minorHAnsi" w:hAnsiTheme="minorHAnsi" w:cstheme="minorHAnsi"/>
          <w:color w:val="000000"/>
          <w:sz w:val="21"/>
          <w:szCs w:val="21"/>
          <w:lang w:val="en-GB"/>
        </w:rPr>
        <w:t>New York City, NY</w:t>
      </w:r>
      <w:r w:rsidR="00344DF1" w:rsidRPr="00344DF1">
        <w:rPr>
          <w:rFonts w:asciiTheme="minorHAnsi" w:hAnsiTheme="minorHAnsi" w:cstheme="minorHAnsi"/>
          <w:color w:val="000000"/>
          <w:sz w:val="21"/>
          <w:szCs w:val="21"/>
          <w:lang w:val="en-GB"/>
        </w:rPr>
        <w:t xml:space="preserve"> </w:t>
      </w:r>
      <w:r w:rsidR="007D48B6" w:rsidRPr="00344DF1"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  <w:sym w:font="Symbol" w:char="F0B7"/>
      </w:r>
      <w:r w:rsidR="007D48B6" w:rsidRPr="00344DF1"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  <w:t xml:space="preserve"> </w:t>
      </w:r>
      <w:r w:rsidR="00A578D5"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  <w:t>2020</w:t>
      </w:r>
      <w:r w:rsidR="00691036" w:rsidRPr="00691036"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  <w:t xml:space="preserve"> </w:t>
      </w:r>
      <w:r w:rsidR="00210240"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  <w:t xml:space="preserve">to </w:t>
      </w:r>
      <w:r w:rsidR="00A578D5"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  <w:t>Present</w:t>
      </w:r>
    </w:p>
    <w:p w14:paraId="062AECB7" w14:textId="35E621A1" w:rsidR="00951EA3" w:rsidRPr="00951EA3" w:rsidRDefault="00951EA3" w:rsidP="00A87ED7">
      <w:pPr>
        <w:pStyle w:val="BodyText"/>
        <w:jc w:val="center"/>
        <w:rPr>
          <w:rFonts w:asciiTheme="minorHAnsi" w:hAnsiTheme="minorHAnsi" w:cstheme="minorHAnsi"/>
          <w:i/>
          <w:color w:val="000000"/>
          <w:sz w:val="21"/>
          <w:szCs w:val="21"/>
          <w:lang w:val="en-GB"/>
        </w:rPr>
      </w:pPr>
      <w:r w:rsidRPr="00951EA3">
        <w:rPr>
          <w:rFonts w:asciiTheme="minorHAnsi" w:hAnsiTheme="minorHAnsi" w:cstheme="minorHAnsi"/>
          <w:i/>
          <w:color w:val="000000"/>
          <w:sz w:val="21"/>
          <w:szCs w:val="21"/>
          <w:lang w:val="en-GB"/>
        </w:rPr>
        <w:t>Implement legislative amendments, industry best practices, and business processes of the finance department.</w:t>
      </w:r>
    </w:p>
    <w:p w14:paraId="16BAE5BB" w14:textId="739A5872" w:rsidR="007D48B6" w:rsidRDefault="00344DF1" w:rsidP="00A87ED7">
      <w:pPr>
        <w:pStyle w:val="BodyText"/>
        <w:spacing w:before="120"/>
        <w:rPr>
          <w:rFonts w:asciiTheme="minorHAnsi" w:hAnsiTheme="minorHAnsi" w:cstheme="minorHAnsi"/>
          <w:b/>
          <w:bCs/>
          <w:smallCaps/>
          <w:color w:val="000000"/>
          <w:sz w:val="21"/>
          <w:szCs w:val="20"/>
          <w:lang w:val="en-GB"/>
        </w:rPr>
      </w:pPr>
      <w:r w:rsidRPr="00344DF1">
        <w:rPr>
          <w:rFonts w:asciiTheme="minorHAnsi" w:hAnsiTheme="minorHAnsi" w:cstheme="minorHAnsi"/>
          <w:b/>
          <w:bCs/>
          <w:smallCaps/>
          <w:color w:val="000000"/>
          <w:sz w:val="21"/>
          <w:szCs w:val="20"/>
          <w:lang w:val="en-GB"/>
        </w:rPr>
        <w:t>Group Intercompany Accountant</w:t>
      </w:r>
      <w:r w:rsidRPr="00344DF1">
        <w:rPr>
          <w:rFonts w:asciiTheme="minorHAnsi" w:hAnsiTheme="minorHAnsi" w:cstheme="minorHAnsi"/>
          <w:bCs/>
          <w:smallCaps/>
          <w:color w:val="000000"/>
          <w:sz w:val="21"/>
          <w:szCs w:val="20"/>
          <w:lang w:val="en-GB"/>
        </w:rPr>
        <w:t>,</w:t>
      </w:r>
      <w:r>
        <w:rPr>
          <w:rFonts w:asciiTheme="minorHAnsi" w:hAnsiTheme="minorHAnsi" w:cstheme="minorHAnsi"/>
          <w:b/>
          <w:bCs/>
          <w:smallCaps/>
          <w:color w:val="000000"/>
          <w:sz w:val="21"/>
          <w:szCs w:val="20"/>
          <w:lang w:val="en-GB"/>
        </w:rPr>
        <w:t xml:space="preserve"> </w:t>
      </w:r>
      <w:r w:rsidRPr="00344DF1">
        <w:rPr>
          <w:rFonts w:asciiTheme="minorHAnsi" w:hAnsiTheme="minorHAnsi" w:cstheme="minorHAnsi"/>
          <w:bCs/>
          <w:smallCaps/>
          <w:color w:val="000000"/>
          <w:sz w:val="21"/>
          <w:szCs w:val="20"/>
          <w:lang w:val="en-GB"/>
        </w:rPr>
        <w:t xml:space="preserve">2016 – </w:t>
      </w:r>
      <w:r w:rsidR="00691036" w:rsidRPr="00691036"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  <w:t>Present</w:t>
      </w:r>
    </w:p>
    <w:p w14:paraId="2F5B20AB" w14:textId="6B4C71DD" w:rsidR="000771A8" w:rsidRPr="00B96843" w:rsidRDefault="00A24A05" w:rsidP="00A87ED7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A24A05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Oversee </w:t>
      </w:r>
      <w:r w:rsidR="00920F3C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the </w:t>
      </w:r>
      <w:r w:rsidRPr="00A24A05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preparation and review of the annual budget for cross-border expenditure from business unit heads. Submit monthly account reconciliations and conduct in-depth analysis of subsidiary balance sheets.  Ensure compliance with governance requirements, including legislation, audits, and deadlines. Identify </w:t>
      </w:r>
      <w:r>
        <w:rPr>
          <w:rFonts w:asciiTheme="minorHAnsi" w:hAnsiTheme="minorHAnsi" w:cstheme="minorHAnsi"/>
          <w:bCs/>
          <w:sz w:val="21"/>
          <w:szCs w:val="21"/>
          <w:lang w:val="en-GB"/>
        </w:rPr>
        <w:t>and report to the CEO and Chief Financial Officer (CFO) all abnormal variances, offering</w:t>
      </w:r>
      <w:r w:rsidRPr="00A24A05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proactive advice and sol</w:t>
      </w:r>
      <w:r>
        <w:rPr>
          <w:rFonts w:asciiTheme="minorHAnsi" w:hAnsiTheme="minorHAnsi" w:cstheme="minorHAnsi"/>
          <w:bCs/>
          <w:sz w:val="21"/>
          <w:szCs w:val="21"/>
          <w:lang w:val="en-GB"/>
        </w:rPr>
        <w:t>utions to relevant stakeholders</w:t>
      </w:r>
      <w:r w:rsidR="006F1F60" w:rsidRPr="00492932">
        <w:rPr>
          <w:rFonts w:asciiTheme="minorHAnsi" w:hAnsiTheme="minorHAnsi" w:cstheme="minorHAnsi"/>
          <w:bCs/>
          <w:sz w:val="21"/>
          <w:szCs w:val="21"/>
          <w:lang w:val="en-GB"/>
        </w:rPr>
        <w:t>.</w:t>
      </w:r>
    </w:p>
    <w:p w14:paraId="31DF1ED2" w14:textId="77777777" w:rsidR="007D48B6" w:rsidRPr="000771A8" w:rsidRDefault="00C82BD0" w:rsidP="00A87ED7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b/>
          <w:color w:val="000000"/>
          <w:sz w:val="21"/>
          <w:szCs w:val="20"/>
          <w:lang w:val="en-GB"/>
        </w:rPr>
      </w:pPr>
      <w:r w:rsidRPr="000771A8">
        <w:rPr>
          <w:rFonts w:asciiTheme="minorHAnsi" w:hAnsiTheme="minorHAnsi" w:cstheme="minorHAnsi"/>
          <w:b/>
          <w:color w:val="000000"/>
          <w:sz w:val="21"/>
          <w:szCs w:val="20"/>
          <w:lang w:val="en-GB"/>
        </w:rPr>
        <w:t>Key Accomplishments</w:t>
      </w:r>
      <w:r w:rsidR="007D48B6" w:rsidRPr="000771A8">
        <w:rPr>
          <w:rFonts w:asciiTheme="minorHAnsi" w:hAnsiTheme="minorHAnsi" w:cstheme="minorHAnsi"/>
          <w:b/>
          <w:color w:val="000000"/>
          <w:sz w:val="21"/>
          <w:szCs w:val="20"/>
          <w:lang w:val="en-GB"/>
        </w:rPr>
        <w:t>:</w:t>
      </w:r>
    </w:p>
    <w:p w14:paraId="0021844C" w14:textId="300AB9ED" w:rsidR="00A24A05" w:rsidRPr="00A24A05" w:rsidRDefault="00A24A05" w:rsidP="00A87ED7">
      <w:pPr>
        <w:pStyle w:val="BodyText"/>
        <w:numPr>
          <w:ilvl w:val="0"/>
          <w:numId w:val="2"/>
        </w:numPr>
        <w:tabs>
          <w:tab w:val="right" w:pos="360"/>
        </w:tabs>
        <w:spacing w:before="60"/>
        <w:ind w:left="360" w:hanging="270"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A24A05">
        <w:rPr>
          <w:rFonts w:asciiTheme="minorHAnsi" w:hAnsiTheme="minorHAnsi" w:cstheme="minorHAnsi"/>
          <w:bCs/>
          <w:sz w:val="21"/>
          <w:szCs w:val="21"/>
          <w:lang w:val="en-GB"/>
        </w:rPr>
        <w:t>Implemented effective measures to identify and mitigate potential risks</w:t>
      </w:r>
      <w:r w:rsidR="00920F3C">
        <w:rPr>
          <w:rFonts w:asciiTheme="minorHAnsi" w:hAnsiTheme="minorHAnsi" w:cstheme="minorHAnsi"/>
          <w:bCs/>
          <w:sz w:val="21"/>
          <w:szCs w:val="21"/>
          <w:lang w:val="en-GB"/>
        </w:rPr>
        <w:t>; i</w:t>
      </w:r>
      <w:r w:rsidRPr="00A24A05">
        <w:rPr>
          <w:rFonts w:asciiTheme="minorHAnsi" w:hAnsiTheme="minorHAnsi" w:cstheme="minorHAnsi"/>
          <w:bCs/>
          <w:sz w:val="21"/>
          <w:szCs w:val="21"/>
          <w:lang w:val="en-GB"/>
        </w:rPr>
        <w:t>ncreased project income</w:t>
      </w:r>
      <w:r w:rsidR="00920F3C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by 15%</w:t>
      </w:r>
      <w:r w:rsidRPr="00A24A05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and controlled costs through the development and successful implementation of financial plans.</w:t>
      </w:r>
    </w:p>
    <w:p w14:paraId="58307CFF" w14:textId="77777777" w:rsidR="00A24A05" w:rsidRPr="00A24A05" w:rsidRDefault="00A24A05" w:rsidP="00A87ED7">
      <w:pPr>
        <w:pStyle w:val="BodyText"/>
        <w:numPr>
          <w:ilvl w:val="0"/>
          <w:numId w:val="2"/>
        </w:numPr>
        <w:tabs>
          <w:tab w:val="right" w:pos="360"/>
        </w:tabs>
        <w:spacing w:before="60"/>
        <w:ind w:left="360" w:hanging="270"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A24A05">
        <w:rPr>
          <w:rFonts w:asciiTheme="minorHAnsi" w:hAnsiTheme="minorHAnsi" w:cstheme="minorHAnsi"/>
          <w:bCs/>
          <w:sz w:val="21"/>
          <w:szCs w:val="21"/>
          <w:lang w:val="en-GB"/>
        </w:rPr>
        <w:t>Led risk assessments and developed the group business model for inclusion in integrated annual financial reports distributed to the board of directors.</w:t>
      </w:r>
    </w:p>
    <w:p w14:paraId="43228959" w14:textId="52E12F79" w:rsidR="00A2145A" w:rsidRPr="005F0C15" w:rsidRDefault="00A24A05" w:rsidP="00A87ED7">
      <w:pPr>
        <w:pStyle w:val="BodyText"/>
        <w:numPr>
          <w:ilvl w:val="0"/>
          <w:numId w:val="2"/>
        </w:numPr>
        <w:tabs>
          <w:tab w:val="right" w:pos="360"/>
        </w:tabs>
        <w:spacing w:before="60"/>
        <w:ind w:left="360" w:hanging="270"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A24A05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Prepared annual financial statements for group subsidiaries </w:t>
      </w:r>
      <w:r>
        <w:rPr>
          <w:rFonts w:asciiTheme="minorHAnsi" w:hAnsiTheme="minorHAnsi" w:cstheme="minorHAnsi"/>
          <w:bCs/>
          <w:sz w:val="21"/>
          <w:szCs w:val="21"/>
          <w:lang w:val="en-GB"/>
        </w:rPr>
        <w:t>per</w:t>
      </w:r>
      <w:r w:rsidRPr="00A24A05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IFRS principles. Led external audits and improved the integrity of financial information by preparing accurate general ledger entries.</w:t>
      </w:r>
    </w:p>
    <w:p w14:paraId="591D569E" w14:textId="47D30FE9" w:rsidR="007D48B6" w:rsidRPr="00691036" w:rsidRDefault="00691036" w:rsidP="00A87ED7">
      <w:pPr>
        <w:pStyle w:val="BodyText"/>
        <w:spacing w:before="240"/>
        <w:jc w:val="center"/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</w:pPr>
      <w:r w:rsidRPr="00691036">
        <w:rPr>
          <w:rFonts w:asciiTheme="minorHAnsi" w:hAnsiTheme="minorHAnsi" w:cstheme="minorHAnsi"/>
          <w:b/>
          <w:color w:val="000000"/>
          <w:sz w:val="21"/>
          <w:szCs w:val="21"/>
          <w:lang w:val="en-GB"/>
        </w:rPr>
        <w:t xml:space="preserve">PKF </w:t>
      </w:r>
      <w:r w:rsidR="00A24A05" w:rsidRPr="00691036">
        <w:rPr>
          <w:rFonts w:asciiTheme="minorHAnsi" w:hAnsiTheme="minorHAnsi" w:cstheme="minorHAnsi"/>
          <w:b/>
          <w:color w:val="000000"/>
          <w:sz w:val="21"/>
          <w:szCs w:val="21"/>
          <w:lang w:val="en-GB"/>
        </w:rPr>
        <w:t xml:space="preserve">Chartered Accountants &amp; Business </w:t>
      </w:r>
      <w:r w:rsidR="00413E33">
        <w:rPr>
          <w:rFonts w:asciiTheme="minorHAnsi" w:hAnsiTheme="minorHAnsi" w:cstheme="minorHAnsi"/>
          <w:b/>
          <w:color w:val="000000"/>
          <w:sz w:val="21"/>
          <w:szCs w:val="21"/>
          <w:lang w:val="en-GB"/>
        </w:rPr>
        <w:t>Advisers</w:t>
      </w:r>
      <w:r w:rsidR="00D86906" w:rsidRPr="00344DF1">
        <w:rPr>
          <w:rFonts w:asciiTheme="minorHAnsi" w:hAnsiTheme="minorHAnsi" w:cstheme="minorHAnsi"/>
          <w:b/>
          <w:color w:val="000000"/>
          <w:sz w:val="21"/>
          <w:szCs w:val="21"/>
          <w:lang w:val="en-GB"/>
        </w:rPr>
        <w:t xml:space="preserve"> </w:t>
      </w:r>
      <w:r w:rsidR="00D86906" w:rsidRPr="00344DF1"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  <w:sym w:font="Symbol" w:char="F0B7"/>
      </w:r>
      <w:r w:rsidR="00D86906" w:rsidRPr="00344DF1">
        <w:rPr>
          <w:rFonts w:asciiTheme="minorHAnsi" w:hAnsiTheme="minorHAnsi" w:cstheme="minorHAnsi"/>
          <w:color w:val="000000"/>
          <w:sz w:val="21"/>
          <w:szCs w:val="21"/>
          <w:lang w:val="en-GB"/>
        </w:rPr>
        <w:t xml:space="preserve"> </w:t>
      </w:r>
      <w:r w:rsidR="008E3E23" w:rsidRPr="008E3E23">
        <w:rPr>
          <w:rFonts w:asciiTheme="minorHAnsi" w:hAnsiTheme="minorHAnsi" w:cstheme="minorHAnsi"/>
          <w:color w:val="000000"/>
          <w:sz w:val="21"/>
          <w:szCs w:val="21"/>
          <w:lang w:val="en-GB"/>
        </w:rPr>
        <w:t>Miami Gardens, FL</w:t>
      </w:r>
      <w:r w:rsidRPr="00691036">
        <w:rPr>
          <w:rFonts w:asciiTheme="minorHAnsi" w:hAnsiTheme="minorHAnsi" w:cstheme="minorHAnsi"/>
          <w:color w:val="000000"/>
          <w:sz w:val="21"/>
          <w:szCs w:val="21"/>
          <w:lang w:val="en-GB"/>
        </w:rPr>
        <w:t xml:space="preserve"> </w:t>
      </w:r>
      <w:r w:rsidR="007D48B6" w:rsidRPr="00691036"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  <w:sym w:font="Symbol" w:char="F0B7"/>
      </w:r>
      <w:r w:rsidR="007D48B6" w:rsidRPr="00691036"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  <w:t xml:space="preserve"> </w:t>
      </w:r>
      <w:r w:rsidR="00A578D5"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  <w:t>2015</w:t>
      </w:r>
      <w:r w:rsidR="00210240"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  <w:t xml:space="preserve"> to</w:t>
      </w:r>
      <w:r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  <w:t xml:space="preserve"> </w:t>
      </w:r>
      <w:r w:rsidR="00A578D5"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  <w:t>2020</w:t>
      </w:r>
    </w:p>
    <w:p w14:paraId="2A365EF7" w14:textId="19794F44" w:rsidR="00971D64" w:rsidRPr="00AC75F1" w:rsidRDefault="00951EA3" w:rsidP="00A87ED7">
      <w:pPr>
        <w:pStyle w:val="BodyText"/>
        <w:jc w:val="center"/>
        <w:rPr>
          <w:rFonts w:asciiTheme="minorHAnsi" w:hAnsiTheme="minorHAnsi" w:cstheme="minorHAnsi"/>
          <w:i/>
          <w:color w:val="000000"/>
          <w:sz w:val="21"/>
          <w:szCs w:val="21"/>
          <w:lang w:val="en-GB"/>
        </w:rPr>
      </w:pPr>
      <w:r>
        <w:rPr>
          <w:rFonts w:asciiTheme="minorHAnsi" w:hAnsiTheme="minorHAnsi" w:cstheme="minorHAnsi"/>
          <w:i/>
          <w:color w:val="000000"/>
          <w:sz w:val="21"/>
          <w:szCs w:val="21"/>
          <w:lang w:val="en-GB"/>
        </w:rPr>
        <w:t xml:space="preserve">Envisioned and </w:t>
      </w:r>
      <w:r w:rsidRPr="00AC75F1">
        <w:rPr>
          <w:rFonts w:asciiTheme="minorHAnsi" w:hAnsiTheme="minorHAnsi" w:cstheme="minorHAnsi"/>
          <w:i/>
          <w:color w:val="000000"/>
          <w:sz w:val="21"/>
          <w:szCs w:val="21"/>
          <w:lang w:val="en-GB"/>
        </w:rPr>
        <w:t xml:space="preserve">designed </w:t>
      </w:r>
      <w:r w:rsidR="00971D64" w:rsidRPr="00AC75F1">
        <w:rPr>
          <w:rFonts w:asciiTheme="minorHAnsi" w:hAnsiTheme="minorHAnsi" w:cstheme="minorHAnsi"/>
          <w:i/>
          <w:color w:val="000000"/>
          <w:sz w:val="21"/>
          <w:szCs w:val="21"/>
          <w:lang w:val="en-GB"/>
        </w:rPr>
        <w:t>appropriate accounting frameworks, policies, and work plans.</w:t>
      </w:r>
    </w:p>
    <w:p w14:paraId="2D982A95" w14:textId="317431DD" w:rsidR="007D48B6" w:rsidRPr="00691036" w:rsidRDefault="00691036" w:rsidP="00A87ED7">
      <w:pPr>
        <w:pStyle w:val="BodyText"/>
        <w:spacing w:before="120"/>
        <w:rPr>
          <w:rFonts w:asciiTheme="minorHAnsi" w:hAnsiTheme="minorHAnsi" w:cstheme="minorHAnsi"/>
          <w:b/>
          <w:bCs/>
          <w:smallCaps/>
          <w:color w:val="000000"/>
          <w:sz w:val="21"/>
          <w:szCs w:val="20"/>
          <w:lang w:val="en-GB"/>
        </w:rPr>
      </w:pPr>
      <w:r>
        <w:rPr>
          <w:rFonts w:asciiTheme="minorHAnsi" w:hAnsiTheme="minorHAnsi" w:cstheme="minorHAnsi"/>
          <w:b/>
          <w:bCs/>
          <w:smallCaps/>
          <w:color w:val="000000"/>
          <w:sz w:val="21"/>
          <w:szCs w:val="20"/>
          <w:lang w:val="en-GB"/>
        </w:rPr>
        <w:t>Audit Senior</w:t>
      </w:r>
    </w:p>
    <w:p w14:paraId="262358B6" w14:textId="3AE58DB3" w:rsidR="00897480" w:rsidRPr="00AC75F1" w:rsidRDefault="003D464E" w:rsidP="00A87ED7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AC75F1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Directed </w:t>
      </w:r>
      <w:r w:rsidR="008A4671" w:rsidRPr="00AC75F1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bi-annual appraisals of performance, calculated </w:t>
      </w:r>
      <w:r w:rsidR="00897480" w:rsidRPr="00AC75F1">
        <w:rPr>
          <w:rFonts w:asciiTheme="minorHAnsi" w:hAnsiTheme="minorHAnsi" w:cstheme="minorHAnsi"/>
          <w:bCs/>
          <w:sz w:val="21"/>
          <w:szCs w:val="21"/>
          <w:lang w:val="en-GB"/>
        </w:rPr>
        <w:t>inc</w:t>
      </w:r>
      <w:r w:rsidR="00BA566C" w:rsidRPr="00AC75F1">
        <w:rPr>
          <w:rFonts w:asciiTheme="minorHAnsi" w:hAnsiTheme="minorHAnsi" w:cstheme="minorHAnsi"/>
          <w:bCs/>
          <w:sz w:val="21"/>
          <w:szCs w:val="21"/>
          <w:lang w:val="en-GB"/>
        </w:rPr>
        <w:t>ome tax payable</w:t>
      </w:r>
      <w:r w:rsidR="008A4671" w:rsidRPr="00AC75F1">
        <w:rPr>
          <w:rFonts w:asciiTheme="minorHAnsi" w:hAnsiTheme="minorHAnsi" w:cstheme="minorHAnsi"/>
          <w:bCs/>
          <w:sz w:val="21"/>
          <w:szCs w:val="21"/>
          <w:lang w:val="en-GB"/>
        </w:rPr>
        <w:t>,</w:t>
      </w:r>
      <w:r w:rsidR="00BA566C" w:rsidRPr="00AC75F1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and organised appropriate </w:t>
      </w:r>
      <w:r w:rsidR="00897480" w:rsidRPr="00AC75F1">
        <w:rPr>
          <w:rFonts w:asciiTheme="minorHAnsi" w:hAnsiTheme="minorHAnsi" w:cstheme="minorHAnsi"/>
          <w:bCs/>
          <w:sz w:val="21"/>
          <w:szCs w:val="21"/>
          <w:lang w:val="en-GB"/>
        </w:rPr>
        <w:t>income tax returns</w:t>
      </w:r>
      <w:r w:rsidR="00BA566C" w:rsidRPr="00AC75F1">
        <w:rPr>
          <w:rFonts w:asciiTheme="minorHAnsi" w:hAnsiTheme="minorHAnsi" w:cstheme="minorHAnsi"/>
          <w:bCs/>
          <w:sz w:val="21"/>
          <w:szCs w:val="21"/>
          <w:lang w:val="en-GB"/>
        </w:rPr>
        <w:t>.</w:t>
      </w:r>
      <w:r w:rsidR="00461939" w:rsidRPr="00AC75F1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</w:t>
      </w:r>
      <w:r w:rsidRPr="00AC75F1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Led and </w:t>
      </w:r>
      <w:r w:rsidR="00DF1577" w:rsidRPr="00AC75F1">
        <w:rPr>
          <w:rFonts w:asciiTheme="minorHAnsi" w:hAnsiTheme="minorHAnsi" w:cstheme="minorHAnsi"/>
          <w:bCs/>
          <w:sz w:val="21"/>
          <w:szCs w:val="21"/>
          <w:lang w:val="en-GB"/>
        </w:rPr>
        <w:t>trained</w:t>
      </w:r>
      <w:r w:rsidRPr="00AC75F1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</w:t>
      </w:r>
      <w:r w:rsidR="00897480" w:rsidRPr="00AC75F1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junior audit staff </w:t>
      </w:r>
      <w:r w:rsidR="00DF1577" w:rsidRPr="00AC75F1">
        <w:rPr>
          <w:rFonts w:asciiTheme="minorHAnsi" w:hAnsiTheme="minorHAnsi" w:cstheme="minorHAnsi"/>
          <w:bCs/>
          <w:sz w:val="21"/>
          <w:szCs w:val="21"/>
          <w:lang w:val="en-GB"/>
        </w:rPr>
        <w:t>of highly skilled professionals</w:t>
      </w:r>
      <w:r w:rsidR="008A4671" w:rsidRPr="00AC75F1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on personal development plans </w:t>
      </w:r>
      <w:r w:rsidR="00461939" w:rsidRPr="00AC75F1">
        <w:rPr>
          <w:rFonts w:asciiTheme="minorHAnsi" w:hAnsiTheme="minorHAnsi" w:cstheme="minorHAnsi"/>
          <w:bCs/>
          <w:sz w:val="21"/>
          <w:szCs w:val="21"/>
          <w:lang w:val="en-GB"/>
        </w:rPr>
        <w:t>to</w:t>
      </w:r>
      <w:r w:rsidR="008A4671" w:rsidRPr="00AC75F1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improve efficiency</w:t>
      </w:r>
      <w:r w:rsidR="00DF1577" w:rsidRPr="00AC75F1">
        <w:rPr>
          <w:rFonts w:asciiTheme="minorHAnsi" w:hAnsiTheme="minorHAnsi" w:cstheme="minorHAnsi"/>
          <w:bCs/>
          <w:sz w:val="21"/>
          <w:szCs w:val="21"/>
          <w:lang w:val="en-GB"/>
        </w:rPr>
        <w:t>.</w:t>
      </w:r>
      <w:r w:rsidR="00461939" w:rsidRPr="00AC75F1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Provided recommendations to recover internal control deficiencies.</w:t>
      </w:r>
    </w:p>
    <w:p w14:paraId="29BAA7EA" w14:textId="77777777" w:rsidR="007D48B6" w:rsidRPr="00744A99" w:rsidRDefault="007D48B6" w:rsidP="00A87ED7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b/>
          <w:color w:val="000000"/>
          <w:sz w:val="21"/>
          <w:szCs w:val="20"/>
          <w:lang w:val="en-GB"/>
        </w:rPr>
      </w:pPr>
      <w:r w:rsidRPr="00744A99">
        <w:rPr>
          <w:rFonts w:asciiTheme="minorHAnsi" w:hAnsiTheme="minorHAnsi" w:cstheme="minorHAnsi"/>
          <w:b/>
          <w:color w:val="000000"/>
          <w:sz w:val="21"/>
          <w:szCs w:val="20"/>
          <w:lang w:val="en-GB"/>
        </w:rPr>
        <w:t>Key Accomplishments:</w:t>
      </w:r>
    </w:p>
    <w:p w14:paraId="4D22DF21" w14:textId="77777777" w:rsidR="00461939" w:rsidRPr="00391CE0" w:rsidRDefault="00461939" w:rsidP="00A87ED7">
      <w:pPr>
        <w:pStyle w:val="BodyText"/>
        <w:numPr>
          <w:ilvl w:val="0"/>
          <w:numId w:val="2"/>
        </w:numPr>
        <w:tabs>
          <w:tab w:val="right" w:pos="360"/>
        </w:tabs>
        <w:spacing w:before="60"/>
        <w:ind w:left="360" w:hanging="270"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391CE0">
        <w:rPr>
          <w:rFonts w:asciiTheme="minorHAnsi" w:hAnsiTheme="minorHAnsi" w:cstheme="minorHAnsi"/>
          <w:bCs/>
          <w:sz w:val="21"/>
          <w:szCs w:val="21"/>
          <w:lang w:val="en-GB"/>
        </w:rPr>
        <w:t>Formulated numerous detailed reports on client management and interpreted financial statements/notes in compliance with the IFRS and IFRS regulations for SMEs.</w:t>
      </w:r>
    </w:p>
    <w:p w14:paraId="47EF948E" w14:textId="6EB92ABC" w:rsidR="00461939" w:rsidRPr="00391CE0" w:rsidRDefault="00461939" w:rsidP="00A87ED7">
      <w:pPr>
        <w:pStyle w:val="BodyText"/>
        <w:numPr>
          <w:ilvl w:val="0"/>
          <w:numId w:val="2"/>
        </w:numPr>
        <w:tabs>
          <w:tab w:val="right" w:pos="360"/>
        </w:tabs>
        <w:spacing w:before="60"/>
        <w:ind w:left="360" w:hanging="270"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391CE0">
        <w:rPr>
          <w:rFonts w:asciiTheme="minorHAnsi" w:hAnsiTheme="minorHAnsi" w:cstheme="minorHAnsi"/>
          <w:bCs/>
          <w:sz w:val="21"/>
          <w:szCs w:val="21"/>
          <w:lang w:val="en-GB"/>
        </w:rPr>
        <w:t>Created audit procedures and employed IT controls while working well with entities and environments.</w:t>
      </w:r>
    </w:p>
    <w:p w14:paraId="18D06B86" w14:textId="104B224E" w:rsidR="00487C6D" w:rsidRPr="00D86906" w:rsidRDefault="0034507F" w:rsidP="00EE4119">
      <w:pPr>
        <w:pBdr>
          <w:bottom w:val="single" w:sz="4" w:space="4" w:color="auto"/>
        </w:pBdr>
        <w:shd w:val="clear" w:color="auto" w:fill="D6E3BC" w:themeFill="accent3" w:themeFillTint="66"/>
        <w:spacing w:before="240" w:after="120" w:line="240" w:lineRule="auto"/>
        <w:jc w:val="center"/>
        <w:rPr>
          <w:rFonts w:asciiTheme="majorHAnsi" w:hAnsiTheme="majorHAnsi" w:cs="Tahoma"/>
          <w:b/>
          <w:color w:val="000000"/>
          <w:spacing w:val="10"/>
          <w:sz w:val="24"/>
          <w:szCs w:val="28"/>
          <w:lang w:val="en-GB"/>
        </w:rPr>
      </w:pPr>
      <w:r w:rsidRPr="00D86906">
        <w:rPr>
          <w:rFonts w:asciiTheme="majorHAnsi" w:hAnsiTheme="majorHAnsi" w:cs="Tahoma"/>
          <w:b/>
          <w:color w:val="000000"/>
          <w:spacing w:val="10"/>
          <w:sz w:val="24"/>
          <w:szCs w:val="28"/>
          <w:lang w:val="en-GB"/>
        </w:rPr>
        <w:t xml:space="preserve">Additional </w:t>
      </w:r>
      <w:r w:rsidR="00487C6D" w:rsidRPr="00D86906">
        <w:rPr>
          <w:rFonts w:asciiTheme="majorHAnsi" w:hAnsiTheme="majorHAnsi" w:cs="Tahoma"/>
          <w:b/>
          <w:color w:val="000000"/>
          <w:spacing w:val="10"/>
          <w:sz w:val="24"/>
          <w:szCs w:val="28"/>
          <w:lang w:val="en-GB"/>
        </w:rPr>
        <w:t>Experience</w:t>
      </w:r>
    </w:p>
    <w:p w14:paraId="033FF977" w14:textId="07E893DE" w:rsidR="00BC3FB3" w:rsidRPr="000F5388" w:rsidRDefault="00BC3FB3" w:rsidP="00A87ED7">
      <w:pPr>
        <w:pStyle w:val="BodyText"/>
        <w:spacing w:before="240"/>
        <w:jc w:val="center"/>
        <w:rPr>
          <w:rFonts w:asciiTheme="minorHAnsi" w:eastAsia="Calibri" w:hAnsiTheme="minorHAnsi" w:cstheme="minorHAnsi"/>
          <w:iCs/>
          <w:sz w:val="21"/>
          <w:szCs w:val="20"/>
          <w:lang w:val="en-GB"/>
        </w:rPr>
      </w:pPr>
      <w:r w:rsidRPr="008B0DCD">
        <w:rPr>
          <w:rFonts w:asciiTheme="minorHAnsi" w:hAnsiTheme="minorHAnsi" w:cstheme="minorHAnsi"/>
          <w:b/>
          <w:bCs/>
          <w:smallCaps/>
          <w:color w:val="000000"/>
          <w:sz w:val="21"/>
          <w:szCs w:val="20"/>
          <w:lang w:val="en-GB"/>
        </w:rPr>
        <w:t>Accounts Officer</w:t>
      </w:r>
      <w:r w:rsidRPr="000F5388">
        <w:rPr>
          <w:rFonts w:asciiTheme="minorHAnsi" w:eastAsia="Calibri" w:hAnsiTheme="minorHAnsi" w:cstheme="minorHAnsi"/>
          <w:iCs/>
          <w:sz w:val="21"/>
          <w:szCs w:val="20"/>
          <w:lang w:val="en-GB"/>
        </w:rPr>
        <w:t xml:space="preserve">, First National Bank of </w:t>
      </w:r>
      <w:r w:rsidRPr="008B0DCD">
        <w:rPr>
          <w:rFonts w:asciiTheme="minorHAnsi" w:eastAsia="Calibri" w:hAnsiTheme="minorHAnsi" w:cstheme="minorHAnsi"/>
          <w:iCs/>
          <w:sz w:val="21"/>
          <w:szCs w:val="20"/>
          <w:lang w:val="en-GB"/>
        </w:rPr>
        <w:t>Namibia</w:t>
      </w:r>
      <w:r w:rsidRPr="000F5388">
        <w:rPr>
          <w:rFonts w:asciiTheme="minorHAnsi" w:eastAsia="Calibri" w:hAnsiTheme="minorHAnsi" w:cstheme="minorHAnsi"/>
          <w:iCs/>
          <w:sz w:val="21"/>
          <w:szCs w:val="20"/>
          <w:lang w:val="en-GB"/>
        </w:rPr>
        <w:t xml:space="preserve"> </w:t>
      </w:r>
      <w:r w:rsidRPr="008B0DCD">
        <w:rPr>
          <w:rFonts w:asciiTheme="minorHAnsi" w:eastAsia="Calibri" w:hAnsiTheme="minorHAnsi" w:cstheme="minorHAnsi"/>
          <w:iCs/>
          <w:sz w:val="21"/>
          <w:szCs w:val="20"/>
          <w:lang w:val="en-GB"/>
        </w:rPr>
        <w:t>Limited</w:t>
      </w:r>
      <w:r w:rsidRPr="000F5388">
        <w:rPr>
          <w:rFonts w:asciiTheme="minorHAnsi" w:eastAsia="Calibri" w:hAnsiTheme="minorHAnsi" w:cstheme="minorHAnsi"/>
          <w:iCs/>
          <w:sz w:val="21"/>
          <w:szCs w:val="20"/>
          <w:lang w:val="en-GB"/>
        </w:rPr>
        <w:t>, Windhoek, Namibia</w:t>
      </w:r>
      <w:r w:rsidR="00993719">
        <w:rPr>
          <w:rFonts w:asciiTheme="minorHAnsi" w:eastAsia="Calibri" w:hAnsiTheme="minorHAnsi" w:cstheme="minorHAnsi"/>
          <w:iCs/>
          <w:sz w:val="21"/>
          <w:szCs w:val="20"/>
          <w:lang w:val="en-GB"/>
        </w:rPr>
        <w:t>, 2016</w:t>
      </w:r>
    </w:p>
    <w:p w14:paraId="25D8844E" w14:textId="30F6FB37" w:rsidR="00C82BD0" w:rsidRPr="00D86906" w:rsidRDefault="0091234A" w:rsidP="00EE4119">
      <w:pPr>
        <w:pBdr>
          <w:bottom w:val="single" w:sz="4" w:space="4" w:color="auto"/>
        </w:pBdr>
        <w:shd w:val="clear" w:color="auto" w:fill="D6E3BC" w:themeFill="accent3" w:themeFillTint="66"/>
        <w:spacing w:before="240" w:after="120" w:line="240" w:lineRule="auto"/>
        <w:jc w:val="center"/>
        <w:rPr>
          <w:rFonts w:asciiTheme="majorHAnsi" w:hAnsiTheme="majorHAnsi" w:cs="Tahoma"/>
          <w:b/>
          <w:color w:val="000000"/>
          <w:spacing w:val="10"/>
          <w:sz w:val="24"/>
          <w:szCs w:val="28"/>
          <w:lang w:val="en-GB"/>
        </w:rPr>
      </w:pPr>
      <w:r w:rsidRPr="00D86906">
        <w:rPr>
          <w:rFonts w:asciiTheme="majorHAnsi" w:hAnsiTheme="majorHAnsi" w:cs="Tahoma"/>
          <w:b/>
          <w:color w:val="000000"/>
          <w:spacing w:val="10"/>
          <w:sz w:val="24"/>
          <w:szCs w:val="28"/>
          <w:lang w:val="en-GB"/>
        </w:rPr>
        <w:t xml:space="preserve">Education &amp; </w:t>
      </w:r>
      <w:r w:rsidR="00EE4119">
        <w:rPr>
          <w:rFonts w:asciiTheme="majorHAnsi" w:hAnsiTheme="majorHAnsi" w:cs="Tahoma"/>
          <w:b/>
          <w:color w:val="000000"/>
          <w:spacing w:val="10"/>
          <w:sz w:val="24"/>
          <w:szCs w:val="28"/>
          <w:lang w:val="en-GB"/>
        </w:rPr>
        <w:t>Other Qualifications</w:t>
      </w:r>
    </w:p>
    <w:p w14:paraId="1F9AA7D0" w14:textId="3A0F16EF" w:rsidR="007D48B6" w:rsidRPr="00D3332F" w:rsidRDefault="00D3332F" w:rsidP="00A87ED7">
      <w:pPr>
        <w:pStyle w:val="BodyText"/>
        <w:spacing w:before="240"/>
        <w:jc w:val="center"/>
        <w:rPr>
          <w:rFonts w:asciiTheme="minorHAnsi" w:hAnsiTheme="minorHAnsi" w:cstheme="minorHAnsi"/>
          <w:sz w:val="21"/>
          <w:szCs w:val="20"/>
          <w:lang w:val="en-GB"/>
        </w:rPr>
      </w:pPr>
      <w:r w:rsidRPr="00D3332F">
        <w:rPr>
          <w:rFonts w:asciiTheme="minorHAnsi" w:eastAsia="Calibri" w:hAnsiTheme="minorHAnsi" w:cstheme="minorHAnsi"/>
          <w:b/>
          <w:iCs/>
          <w:sz w:val="21"/>
          <w:szCs w:val="20"/>
          <w:lang w:val="en-GB"/>
        </w:rPr>
        <w:t>Master of Science, Professional Accountancy</w:t>
      </w:r>
      <w:r w:rsidR="00A87ED7">
        <w:rPr>
          <w:rFonts w:asciiTheme="minorHAnsi" w:eastAsia="Calibri" w:hAnsiTheme="minorHAnsi" w:cstheme="minorHAnsi"/>
          <w:b/>
          <w:iCs/>
          <w:sz w:val="21"/>
          <w:szCs w:val="20"/>
          <w:lang w:val="en-GB"/>
        </w:rPr>
        <w:t xml:space="preserve">, </w:t>
      </w:r>
      <w:r w:rsidR="002F0642">
        <w:rPr>
          <w:rFonts w:asciiTheme="minorHAnsi" w:hAnsiTheme="minorHAnsi" w:cstheme="minorHAnsi"/>
          <w:sz w:val="21"/>
          <w:szCs w:val="20"/>
          <w:lang w:val="en-GB"/>
        </w:rPr>
        <w:t>University o</w:t>
      </w:r>
      <w:r w:rsidR="002F0642" w:rsidRPr="00D3332F">
        <w:rPr>
          <w:rFonts w:asciiTheme="minorHAnsi" w:hAnsiTheme="minorHAnsi" w:cstheme="minorHAnsi"/>
          <w:sz w:val="21"/>
          <w:szCs w:val="20"/>
          <w:lang w:val="en-GB"/>
        </w:rPr>
        <w:t xml:space="preserve">f London </w:t>
      </w:r>
      <w:r w:rsidR="007D48B6" w:rsidRPr="00D3332F">
        <w:rPr>
          <w:rFonts w:asciiTheme="minorHAnsi" w:hAnsiTheme="minorHAnsi" w:cstheme="minorHAnsi"/>
          <w:caps/>
          <w:sz w:val="21"/>
          <w:szCs w:val="20"/>
          <w:lang w:val="en-GB"/>
        </w:rPr>
        <w:t xml:space="preserve">| </w:t>
      </w:r>
      <w:r w:rsidR="00A578D5">
        <w:rPr>
          <w:rFonts w:asciiTheme="minorHAnsi" w:hAnsiTheme="minorHAnsi" w:cstheme="minorHAnsi"/>
          <w:sz w:val="21"/>
          <w:szCs w:val="20"/>
          <w:lang w:val="en-GB"/>
        </w:rPr>
        <w:t xml:space="preserve">London </w:t>
      </w:r>
      <w:r w:rsidR="007D48B6" w:rsidRPr="00D3332F">
        <w:rPr>
          <w:rFonts w:asciiTheme="minorHAnsi" w:hAnsiTheme="minorHAnsi" w:cstheme="minorHAnsi"/>
          <w:sz w:val="21"/>
          <w:szCs w:val="20"/>
          <w:lang w:val="en-GB"/>
        </w:rPr>
        <w:t xml:space="preserve">| </w:t>
      </w:r>
      <w:r w:rsidRPr="00D3332F">
        <w:rPr>
          <w:rFonts w:asciiTheme="minorHAnsi" w:hAnsiTheme="minorHAnsi" w:cstheme="minorHAnsi"/>
          <w:sz w:val="21"/>
          <w:szCs w:val="20"/>
          <w:lang w:val="en-GB"/>
        </w:rPr>
        <w:t>Present</w:t>
      </w:r>
    </w:p>
    <w:p w14:paraId="640A58EB" w14:textId="3986D7B7" w:rsidR="00D3332F" w:rsidRPr="00587BBE" w:rsidRDefault="00F968F7" w:rsidP="00A87ED7">
      <w:pPr>
        <w:pStyle w:val="BodyText"/>
        <w:spacing w:before="120"/>
        <w:jc w:val="center"/>
        <w:rPr>
          <w:rFonts w:asciiTheme="minorHAnsi" w:hAnsiTheme="minorHAnsi" w:cstheme="minorHAnsi"/>
          <w:sz w:val="21"/>
          <w:szCs w:val="20"/>
          <w:lang w:val="en-GB"/>
        </w:rPr>
      </w:pPr>
      <w:r w:rsidRPr="00F968F7">
        <w:rPr>
          <w:rFonts w:asciiTheme="minorHAnsi" w:eastAsia="Calibri" w:hAnsiTheme="minorHAnsi" w:cstheme="minorHAnsi"/>
          <w:b/>
          <w:iCs/>
          <w:sz w:val="21"/>
          <w:szCs w:val="20"/>
          <w:lang w:val="en-GB"/>
        </w:rPr>
        <w:t>Bachelor of Accounting (Honours)</w:t>
      </w:r>
      <w:r w:rsidR="00A87ED7">
        <w:rPr>
          <w:rFonts w:asciiTheme="minorHAnsi" w:eastAsia="Calibri" w:hAnsiTheme="minorHAnsi" w:cstheme="minorHAnsi"/>
          <w:b/>
          <w:iCs/>
          <w:sz w:val="21"/>
          <w:szCs w:val="20"/>
          <w:lang w:val="en-GB"/>
        </w:rPr>
        <w:t xml:space="preserve">, </w:t>
      </w:r>
      <w:r w:rsidR="002F0642">
        <w:rPr>
          <w:rFonts w:asciiTheme="minorHAnsi" w:hAnsiTheme="minorHAnsi" w:cstheme="minorHAnsi"/>
          <w:sz w:val="21"/>
          <w:szCs w:val="20"/>
          <w:lang w:val="en-GB"/>
        </w:rPr>
        <w:t>University o</w:t>
      </w:r>
      <w:r w:rsidR="002F0642" w:rsidRPr="00587BBE">
        <w:rPr>
          <w:rFonts w:asciiTheme="minorHAnsi" w:hAnsiTheme="minorHAnsi" w:cstheme="minorHAnsi"/>
          <w:sz w:val="21"/>
          <w:szCs w:val="20"/>
          <w:lang w:val="en-GB"/>
        </w:rPr>
        <w:t xml:space="preserve">f Namibia </w:t>
      </w:r>
      <w:r w:rsidR="00D3332F" w:rsidRPr="00587BBE">
        <w:rPr>
          <w:rFonts w:asciiTheme="minorHAnsi" w:hAnsiTheme="minorHAnsi" w:cstheme="minorHAnsi"/>
          <w:caps/>
          <w:sz w:val="21"/>
          <w:szCs w:val="20"/>
          <w:lang w:val="en-GB"/>
        </w:rPr>
        <w:t xml:space="preserve">| </w:t>
      </w:r>
      <w:r w:rsidR="00D86906" w:rsidRPr="00344DF1">
        <w:rPr>
          <w:rFonts w:asciiTheme="minorHAnsi" w:hAnsiTheme="minorHAnsi" w:cstheme="minorHAnsi"/>
          <w:color w:val="000000"/>
          <w:sz w:val="21"/>
          <w:szCs w:val="21"/>
          <w:lang w:val="en-GB"/>
        </w:rPr>
        <w:t xml:space="preserve">Namibia </w:t>
      </w:r>
      <w:r w:rsidR="00D3332F" w:rsidRPr="00587BBE">
        <w:rPr>
          <w:rFonts w:asciiTheme="minorHAnsi" w:hAnsiTheme="minorHAnsi" w:cstheme="minorHAnsi"/>
          <w:sz w:val="21"/>
          <w:szCs w:val="20"/>
          <w:lang w:val="en-GB"/>
        </w:rPr>
        <w:t xml:space="preserve">| </w:t>
      </w:r>
      <w:r w:rsidR="00B459CB" w:rsidRPr="00587BBE">
        <w:rPr>
          <w:rFonts w:asciiTheme="minorHAnsi" w:hAnsiTheme="minorHAnsi" w:cstheme="minorHAnsi"/>
          <w:sz w:val="21"/>
          <w:szCs w:val="20"/>
          <w:lang w:val="en-GB"/>
        </w:rPr>
        <w:t>2011</w:t>
      </w:r>
    </w:p>
    <w:p w14:paraId="0FC187F8" w14:textId="1FADC2D2" w:rsidR="00F968F7" w:rsidRDefault="00D3332F" w:rsidP="00A87ED7">
      <w:pPr>
        <w:pStyle w:val="BodyText"/>
        <w:spacing w:before="120"/>
        <w:jc w:val="center"/>
        <w:rPr>
          <w:rFonts w:asciiTheme="minorHAnsi" w:hAnsiTheme="minorHAnsi" w:cstheme="minorHAnsi"/>
          <w:sz w:val="21"/>
          <w:szCs w:val="21"/>
          <w:lang w:val="en-GB"/>
        </w:rPr>
      </w:pPr>
      <w:r w:rsidRPr="002F0642">
        <w:rPr>
          <w:rFonts w:asciiTheme="minorHAnsi" w:hAnsiTheme="minorHAnsi" w:cstheme="minorHAnsi"/>
          <w:b/>
          <w:sz w:val="21"/>
          <w:szCs w:val="21"/>
          <w:lang w:val="en-GB"/>
        </w:rPr>
        <w:t>Chartered Accountant,</w:t>
      </w:r>
      <w:r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r w:rsidR="002F0642">
        <w:rPr>
          <w:rFonts w:asciiTheme="minorHAnsi" w:hAnsiTheme="minorHAnsi" w:cstheme="minorHAnsi"/>
          <w:color w:val="000000"/>
          <w:sz w:val="21"/>
          <w:szCs w:val="21"/>
          <w:lang w:val="en-GB"/>
        </w:rPr>
        <w:t xml:space="preserve">London </w:t>
      </w:r>
      <w:r w:rsidR="00D86906">
        <w:rPr>
          <w:rFonts w:asciiTheme="minorHAnsi" w:hAnsiTheme="minorHAnsi" w:cstheme="minorHAnsi"/>
          <w:color w:val="000000"/>
          <w:sz w:val="21"/>
          <w:szCs w:val="21"/>
          <w:lang w:val="en-GB"/>
        </w:rPr>
        <w:t>School of Accountancy</w:t>
      </w:r>
      <w:r w:rsidR="00C919CD" w:rsidRPr="00D3332F">
        <w:rPr>
          <w:rFonts w:asciiTheme="minorHAnsi" w:hAnsiTheme="minorHAnsi" w:cstheme="minorHAnsi"/>
          <w:sz w:val="21"/>
          <w:szCs w:val="21"/>
          <w:lang w:val="en-GB"/>
        </w:rPr>
        <w:t xml:space="preserve">, </w:t>
      </w:r>
      <w:r w:rsidR="00413E33">
        <w:rPr>
          <w:rFonts w:asciiTheme="minorHAnsi" w:hAnsiTheme="minorHAnsi" w:cstheme="minorHAnsi"/>
          <w:sz w:val="21"/>
          <w:szCs w:val="21"/>
          <w:lang w:val="en-GB"/>
        </w:rPr>
        <w:t>2021</w:t>
      </w:r>
    </w:p>
    <w:p w14:paraId="47725538" w14:textId="1A3BFF00" w:rsidR="00FA2372" w:rsidRPr="00413E33" w:rsidRDefault="00FA2372" w:rsidP="00A87ED7">
      <w:pPr>
        <w:pStyle w:val="BodyText"/>
        <w:spacing w:before="120"/>
        <w:jc w:val="center"/>
        <w:rPr>
          <w:rFonts w:asciiTheme="minorHAnsi" w:hAnsiTheme="minorHAnsi" w:cstheme="minorHAnsi"/>
          <w:i/>
          <w:sz w:val="21"/>
          <w:szCs w:val="21"/>
          <w:lang w:val="en-GB"/>
        </w:rPr>
      </w:pPr>
      <w:r w:rsidRPr="00413E33">
        <w:rPr>
          <w:rFonts w:asciiTheme="minorHAnsi" w:hAnsiTheme="minorHAnsi" w:cstheme="minorHAnsi"/>
          <w:i/>
          <w:sz w:val="21"/>
          <w:szCs w:val="21"/>
          <w:lang w:val="en-GB"/>
        </w:rPr>
        <w:t>Currently enrolled in Investopedia Excel for finance professionals training – Completion date is 30 Oct 20</w:t>
      </w:r>
      <w:r w:rsidR="00413E33">
        <w:rPr>
          <w:rFonts w:asciiTheme="minorHAnsi" w:hAnsiTheme="minorHAnsi" w:cstheme="minorHAnsi"/>
          <w:i/>
          <w:sz w:val="21"/>
          <w:szCs w:val="21"/>
          <w:lang w:val="en-GB"/>
        </w:rPr>
        <w:t>25</w:t>
      </w:r>
    </w:p>
    <w:p w14:paraId="0E89F709" w14:textId="58FB80DD" w:rsidR="00F968F7" w:rsidRDefault="00F968F7" w:rsidP="00A87ED7">
      <w:pPr>
        <w:pStyle w:val="BodyText"/>
        <w:spacing w:before="240"/>
        <w:jc w:val="center"/>
        <w:rPr>
          <w:rFonts w:asciiTheme="minorHAnsi" w:eastAsia="Calibri" w:hAnsiTheme="minorHAnsi" w:cstheme="minorHAnsi"/>
          <w:i/>
          <w:iCs/>
          <w:sz w:val="21"/>
          <w:szCs w:val="20"/>
          <w:lang w:val="en-GB"/>
        </w:rPr>
      </w:pPr>
      <w:r w:rsidRPr="00A87ED7">
        <w:rPr>
          <w:rFonts w:asciiTheme="minorHAnsi" w:eastAsia="Calibri" w:hAnsiTheme="minorHAnsi" w:cstheme="minorHAnsi"/>
          <w:b/>
          <w:i/>
          <w:iCs/>
          <w:sz w:val="21"/>
          <w:szCs w:val="20"/>
          <w:u w:val="single"/>
          <w:lang w:val="en-GB"/>
        </w:rPr>
        <w:t>Professional Association</w:t>
      </w:r>
      <w:r w:rsidR="00156778" w:rsidRPr="00A87ED7">
        <w:rPr>
          <w:rFonts w:asciiTheme="minorHAnsi" w:eastAsia="Calibri" w:hAnsiTheme="minorHAnsi" w:cstheme="minorHAnsi"/>
          <w:b/>
          <w:i/>
          <w:iCs/>
          <w:sz w:val="21"/>
          <w:szCs w:val="20"/>
          <w:lang w:val="en-GB"/>
        </w:rPr>
        <w:t>:</w:t>
      </w:r>
      <w:r w:rsidR="00156778" w:rsidRPr="00156778">
        <w:rPr>
          <w:rFonts w:asciiTheme="minorHAnsi" w:eastAsia="Calibri" w:hAnsiTheme="minorHAnsi" w:cstheme="minorHAnsi"/>
          <w:i/>
          <w:iCs/>
          <w:sz w:val="21"/>
          <w:szCs w:val="20"/>
          <w:lang w:val="en-GB"/>
        </w:rPr>
        <w:t xml:space="preserve"> </w:t>
      </w:r>
      <w:r w:rsidRPr="00156778">
        <w:rPr>
          <w:rFonts w:asciiTheme="minorHAnsi" w:eastAsia="Calibri" w:hAnsiTheme="minorHAnsi" w:cstheme="minorHAnsi"/>
          <w:i/>
          <w:iCs/>
          <w:sz w:val="21"/>
          <w:szCs w:val="20"/>
          <w:lang w:val="en-GB"/>
        </w:rPr>
        <w:t>Member of Firstrand Group Limited, South Africa</w:t>
      </w:r>
    </w:p>
    <w:p w14:paraId="7FB6998D" w14:textId="4C5FADCE" w:rsidR="00801B61" w:rsidRDefault="00566162" w:rsidP="00D86906">
      <w:pPr>
        <w:pStyle w:val="BodyText"/>
        <w:spacing w:before="80"/>
        <w:jc w:val="center"/>
        <w:rPr>
          <w:rFonts w:asciiTheme="minorHAnsi" w:eastAsia="Calibri" w:hAnsiTheme="minorHAnsi" w:cstheme="minorHAnsi"/>
          <w:i/>
          <w:iCs/>
          <w:sz w:val="21"/>
          <w:szCs w:val="20"/>
          <w:lang w:val="en-GB"/>
        </w:rPr>
      </w:pPr>
      <w:r w:rsidRPr="00A87ED7">
        <w:rPr>
          <w:rFonts w:asciiTheme="minorHAnsi" w:eastAsia="Calibri" w:hAnsiTheme="minorHAnsi" w:cstheme="minorHAnsi"/>
          <w:b/>
          <w:i/>
          <w:iCs/>
          <w:sz w:val="21"/>
          <w:szCs w:val="20"/>
          <w:u w:val="single"/>
          <w:lang w:val="en-GB"/>
        </w:rPr>
        <w:t>Languages</w:t>
      </w:r>
      <w:r w:rsidRPr="00A87ED7">
        <w:rPr>
          <w:rFonts w:asciiTheme="minorHAnsi" w:eastAsia="Calibri" w:hAnsiTheme="minorHAnsi" w:cstheme="minorHAnsi"/>
          <w:b/>
          <w:i/>
          <w:iCs/>
          <w:sz w:val="21"/>
          <w:szCs w:val="20"/>
          <w:lang w:val="en-GB"/>
        </w:rPr>
        <w:t>:</w:t>
      </w:r>
      <w:r w:rsidRPr="00566162">
        <w:rPr>
          <w:rFonts w:asciiTheme="minorHAnsi" w:eastAsia="Calibri" w:hAnsiTheme="minorHAnsi" w:cstheme="minorHAnsi"/>
          <w:i/>
          <w:iCs/>
          <w:sz w:val="21"/>
          <w:szCs w:val="20"/>
          <w:lang w:val="en-GB"/>
        </w:rPr>
        <w:t xml:space="preserve"> Written &amp; </w:t>
      </w:r>
      <w:r>
        <w:rPr>
          <w:rFonts w:asciiTheme="minorHAnsi" w:eastAsia="Calibri" w:hAnsiTheme="minorHAnsi" w:cstheme="minorHAnsi"/>
          <w:i/>
          <w:iCs/>
          <w:sz w:val="21"/>
          <w:szCs w:val="20"/>
          <w:lang w:val="en-GB"/>
        </w:rPr>
        <w:t xml:space="preserve">Spoken, </w:t>
      </w:r>
      <w:r w:rsidRPr="00566162">
        <w:rPr>
          <w:rFonts w:asciiTheme="minorHAnsi" w:eastAsia="Calibri" w:hAnsiTheme="minorHAnsi" w:cstheme="minorHAnsi"/>
          <w:i/>
          <w:iCs/>
          <w:sz w:val="21"/>
          <w:szCs w:val="20"/>
          <w:lang w:val="en-GB"/>
        </w:rPr>
        <w:t xml:space="preserve">English | </w:t>
      </w:r>
      <w:r w:rsidR="00801B61" w:rsidRPr="00566162">
        <w:rPr>
          <w:rFonts w:asciiTheme="minorHAnsi" w:eastAsia="Calibri" w:hAnsiTheme="minorHAnsi" w:cstheme="minorHAnsi"/>
          <w:i/>
          <w:iCs/>
          <w:sz w:val="21"/>
          <w:szCs w:val="20"/>
          <w:lang w:val="en-GB"/>
        </w:rPr>
        <w:t xml:space="preserve">Basic </w:t>
      </w:r>
      <w:r>
        <w:rPr>
          <w:rFonts w:asciiTheme="minorHAnsi" w:eastAsia="Calibri" w:hAnsiTheme="minorHAnsi" w:cstheme="minorHAnsi"/>
          <w:i/>
          <w:iCs/>
          <w:sz w:val="21"/>
          <w:szCs w:val="20"/>
          <w:lang w:val="en-GB"/>
        </w:rPr>
        <w:t xml:space="preserve">Understanding, </w:t>
      </w:r>
      <w:r w:rsidR="00801B61" w:rsidRPr="00566162">
        <w:rPr>
          <w:rFonts w:asciiTheme="minorHAnsi" w:eastAsia="Calibri" w:hAnsiTheme="minorHAnsi" w:cstheme="minorHAnsi"/>
          <w:i/>
          <w:iCs/>
          <w:sz w:val="21"/>
          <w:szCs w:val="20"/>
          <w:lang w:val="en-GB"/>
        </w:rPr>
        <w:t>French</w:t>
      </w:r>
    </w:p>
    <w:p w14:paraId="460D5A5D" w14:textId="0F010551" w:rsidR="00FA2372" w:rsidRPr="00A87ED7" w:rsidRDefault="00CE530F" w:rsidP="00D86906">
      <w:pPr>
        <w:pStyle w:val="BodyText"/>
        <w:spacing w:before="80"/>
        <w:jc w:val="center"/>
        <w:rPr>
          <w:rFonts w:asciiTheme="minorHAnsi" w:eastAsia="Calibri" w:hAnsiTheme="minorHAnsi" w:cstheme="minorHAnsi"/>
          <w:i/>
          <w:iCs/>
          <w:sz w:val="21"/>
          <w:szCs w:val="20"/>
          <w:lang w:val="en-GB"/>
        </w:rPr>
      </w:pPr>
      <w:r w:rsidRPr="00A87ED7">
        <w:rPr>
          <w:rFonts w:asciiTheme="minorHAnsi" w:eastAsia="Calibri" w:hAnsiTheme="minorHAnsi" w:cstheme="minorHAnsi"/>
          <w:b/>
          <w:i/>
          <w:iCs/>
          <w:sz w:val="21"/>
          <w:szCs w:val="20"/>
          <w:u w:val="single"/>
          <w:lang w:val="en-GB"/>
        </w:rPr>
        <w:t>Technologies</w:t>
      </w:r>
      <w:r w:rsidR="00A87ED7" w:rsidRPr="00A87ED7">
        <w:rPr>
          <w:rFonts w:asciiTheme="minorHAnsi" w:eastAsia="Calibri" w:hAnsiTheme="minorHAnsi" w:cstheme="minorHAnsi"/>
          <w:b/>
          <w:i/>
          <w:iCs/>
          <w:sz w:val="21"/>
          <w:szCs w:val="20"/>
          <w:lang w:val="en-GB"/>
        </w:rPr>
        <w:t xml:space="preserve">: </w:t>
      </w:r>
      <w:r w:rsidRPr="00A87ED7">
        <w:rPr>
          <w:rFonts w:asciiTheme="minorHAnsi" w:eastAsia="Calibri" w:hAnsiTheme="minorHAnsi" w:cstheme="minorHAnsi"/>
          <w:i/>
          <w:iCs/>
          <w:sz w:val="21"/>
          <w:szCs w:val="20"/>
          <w:lang w:val="en-GB"/>
        </w:rPr>
        <w:t xml:space="preserve">Microsoft Office </w:t>
      </w:r>
      <w:r w:rsidR="00A87ED7">
        <w:rPr>
          <w:rFonts w:asciiTheme="minorHAnsi" w:eastAsia="Calibri" w:hAnsiTheme="minorHAnsi" w:cstheme="minorHAnsi"/>
          <w:i/>
          <w:iCs/>
          <w:sz w:val="21"/>
          <w:szCs w:val="20"/>
          <w:lang w:val="en-GB"/>
        </w:rPr>
        <w:t xml:space="preserve">Platforms, </w:t>
      </w:r>
      <w:r w:rsidRPr="00A87ED7">
        <w:rPr>
          <w:rFonts w:asciiTheme="minorHAnsi" w:eastAsia="Calibri" w:hAnsiTheme="minorHAnsi" w:cstheme="minorHAnsi"/>
          <w:i/>
          <w:iCs/>
          <w:sz w:val="21"/>
          <w:szCs w:val="20"/>
          <w:lang w:val="en-GB"/>
        </w:rPr>
        <w:t xml:space="preserve">Hogan, Hyperion Financial </w:t>
      </w:r>
      <w:r w:rsidR="00FA2372" w:rsidRPr="00A87ED7">
        <w:rPr>
          <w:rFonts w:asciiTheme="minorHAnsi" w:eastAsia="Calibri" w:hAnsiTheme="minorHAnsi" w:cstheme="minorHAnsi"/>
          <w:i/>
          <w:iCs/>
          <w:sz w:val="21"/>
          <w:szCs w:val="20"/>
          <w:lang w:val="en-GB"/>
        </w:rPr>
        <w:t xml:space="preserve">Management, </w:t>
      </w:r>
      <w:r w:rsidRPr="00A87ED7">
        <w:rPr>
          <w:rFonts w:asciiTheme="minorHAnsi" w:eastAsia="Calibri" w:hAnsiTheme="minorHAnsi" w:cstheme="minorHAnsi"/>
          <w:i/>
          <w:iCs/>
          <w:sz w:val="21"/>
          <w:szCs w:val="20"/>
          <w:lang w:val="en-GB"/>
        </w:rPr>
        <w:t>Essbase</w:t>
      </w:r>
      <w:r w:rsidR="00A87ED7">
        <w:rPr>
          <w:rFonts w:asciiTheme="minorHAnsi" w:eastAsia="Calibri" w:hAnsiTheme="minorHAnsi" w:cstheme="minorHAnsi"/>
          <w:i/>
          <w:iCs/>
          <w:sz w:val="21"/>
          <w:szCs w:val="20"/>
          <w:lang w:val="en-GB"/>
        </w:rPr>
        <w:t xml:space="preserve">, </w:t>
      </w:r>
      <w:proofErr w:type="spellStart"/>
      <w:r w:rsidR="00FA2372" w:rsidRPr="00A87ED7">
        <w:rPr>
          <w:rFonts w:asciiTheme="minorHAnsi" w:eastAsia="Calibri" w:hAnsiTheme="minorHAnsi" w:cstheme="minorHAnsi"/>
          <w:i/>
          <w:iCs/>
          <w:sz w:val="21"/>
          <w:szCs w:val="20"/>
          <w:lang w:val="en-GB"/>
        </w:rPr>
        <w:t>Caseware</w:t>
      </w:r>
      <w:proofErr w:type="spellEnd"/>
    </w:p>
    <w:sectPr w:rsidR="00FA2372" w:rsidRPr="00A87ED7" w:rsidSect="00A87ED7">
      <w:headerReference w:type="default" r:id="rId8"/>
      <w:footerReference w:type="first" r:id="rId9"/>
      <w:type w:val="continuous"/>
      <w:pgSz w:w="11909" w:h="16834" w:code="9"/>
      <w:pgMar w:top="540" w:right="720" w:bottom="1080" w:left="720" w:header="547" w:footer="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002EA" w14:textId="77777777" w:rsidR="008D443D" w:rsidRDefault="008D443D">
      <w:pPr>
        <w:spacing w:after="0" w:line="240" w:lineRule="auto"/>
      </w:pPr>
      <w:r>
        <w:separator/>
      </w:r>
    </w:p>
  </w:endnote>
  <w:endnote w:type="continuationSeparator" w:id="0">
    <w:p w14:paraId="749B1E58" w14:textId="77777777" w:rsidR="008D443D" w:rsidRDefault="008D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A5EE0" w14:textId="6E838BE9" w:rsidR="00C36099" w:rsidRDefault="00C36099" w:rsidP="00C3609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3F5D4" w14:textId="77777777" w:rsidR="008D443D" w:rsidRDefault="008D443D">
      <w:pPr>
        <w:spacing w:after="0" w:line="240" w:lineRule="auto"/>
      </w:pPr>
      <w:r>
        <w:separator/>
      </w:r>
    </w:p>
  </w:footnote>
  <w:footnote w:type="continuationSeparator" w:id="0">
    <w:p w14:paraId="004A820E" w14:textId="77777777" w:rsidR="008D443D" w:rsidRDefault="008D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63520" w14:textId="35DBBC6F" w:rsidR="00CB2811" w:rsidRPr="00050638" w:rsidRDefault="001F1AC5" w:rsidP="00CB2811">
    <w:pPr>
      <w:pBdr>
        <w:bottom w:val="single" w:sz="4" w:space="4" w:color="auto"/>
      </w:pBdr>
      <w:tabs>
        <w:tab w:val="right" w:pos="10800"/>
      </w:tabs>
      <w:spacing w:after="0" w:line="240" w:lineRule="auto"/>
      <w:rPr>
        <w:rFonts w:asciiTheme="majorHAnsi" w:hAnsiTheme="majorHAnsi" w:cs="Tahoma"/>
        <w:b/>
        <w:iCs/>
        <w:color w:val="000000"/>
        <w:sz w:val="28"/>
        <w:szCs w:val="32"/>
      </w:rPr>
    </w:pPr>
    <w:r w:rsidRPr="001F1AC5">
      <w:rPr>
        <w:rFonts w:asciiTheme="majorHAnsi" w:hAnsiTheme="majorHAnsi" w:cs="Tahoma"/>
        <w:b/>
        <w:iCs/>
        <w:color w:val="000000"/>
        <w:sz w:val="36"/>
        <w:szCs w:val="36"/>
      </w:rPr>
      <w:t>Samuel Boamah</w:t>
    </w:r>
  </w:p>
  <w:p w14:paraId="5D40ECE8" w14:textId="77777777" w:rsidR="00CB2811" w:rsidRPr="0022036D" w:rsidRDefault="00CB2811" w:rsidP="00CB2811">
    <w:pPr>
      <w:tabs>
        <w:tab w:val="right" w:pos="10800"/>
      </w:tabs>
      <w:spacing w:before="80" w:after="0" w:line="240" w:lineRule="auto"/>
      <w:rPr>
        <w:rFonts w:asciiTheme="minorHAnsi" w:hAnsiTheme="minorHAnsi" w:cstheme="minorHAnsi"/>
        <w:i/>
        <w:sz w:val="21"/>
        <w:szCs w:val="21"/>
      </w:rPr>
    </w:pPr>
    <w:r w:rsidRPr="0022036D">
      <w:rPr>
        <w:rFonts w:asciiTheme="minorHAnsi" w:hAnsiTheme="minorHAnsi" w:cstheme="minorHAnsi"/>
        <w:i/>
        <w:iCs/>
        <w:color w:val="000000"/>
        <w:sz w:val="21"/>
        <w:szCs w:val="21"/>
      </w:rPr>
      <w:tab/>
    </w:r>
    <w:r>
      <w:rPr>
        <w:rFonts w:asciiTheme="minorHAnsi" w:hAnsiTheme="minorHAnsi" w:cstheme="minorHAnsi"/>
        <w:i/>
        <w:sz w:val="21"/>
        <w:szCs w:val="21"/>
      </w:rPr>
      <w:t>Page Two of Two</w:t>
    </w:r>
  </w:p>
  <w:p w14:paraId="1ECD69C8" w14:textId="77777777" w:rsidR="00CB2811" w:rsidRPr="00A33EC2" w:rsidRDefault="00CB2811" w:rsidP="00CB2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6E79"/>
    <w:multiLevelType w:val="hybridMultilevel"/>
    <w:tmpl w:val="C618295E"/>
    <w:lvl w:ilvl="0" w:tplc="2FE6E9A8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D7C7D"/>
    <w:multiLevelType w:val="hybridMultilevel"/>
    <w:tmpl w:val="DE82B16E"/>
    <w:lvl w:ilvl="0" w:tplc="0409000D">
      <w:start w:val="1"/>
      <w:numFmt w:val="bullet"/>
      <w:lvlText w:val="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 w15:restartNumberingAfterBreak="0">
    <w:nsid w:val="4B7459A9"/>
    <w:multiLevelType w:val="multilevel"/>
    <w:tmpl w:val="DE82B16E"/>
    <w:lvl w:ilvl="0">
      <w:start w:val="1"/>
      <w:numFmt w:val="bullet"/>
      <w:lvlText w:val=""/>
      <w:lvlJc w:val="left"/>
      <w:pPr>
        <w:ind w:left="88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ambria" w:hint="default"/>
      </w:rPr>
    </w:lvl>
    <w:lvl w:ilvl="2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ambria" w:hint="default"/>
      </w:rPr>
    </w:lvl>
    <w:lvl w:ilvl="5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ambria" w:hint="default"/>
      </w:rPr>
    </w:lvl>
    <w:lvl w:ilvl="8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 w15:restartNumberingAfterBreak="0">
    <w:nsid w:val="50A51A31"/>
    <w:multiLevelType w:val="hybridMultilevel"/>
    <w:tmpl w:val="11D8E1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814DDC"/>
    <w:multiLevelType w:val="hybridMultilevel"/>
    <w:tmpl w:val="78CCA3DE"/>
    <w:lvl w:ilvl="0" w:tplc="B9DCDE02">
      <w:start w:val="1"/>
      <w:numFmt w:val="bullet"/>
      <w:lvlText w:val=""/>
      <w:lvlJc w:val="left"/>
      <w:pPr>
        <w:ind w:left="432" w:hanging="288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 w16cid:durableId="1896234940">
    <w:abstractNumId w:val="1"/>
  </w:num>
  <w:num w:numId="2" w16cid:durableId="1394737972">
    <w:abstractNumId w:val="3"/>
  </w:num>
  <w:num w:numId="3" w16cid:durableId="427039409">
    <w:abstractNumId w:val="2"/>
  </w:num>
  <w:num w:numId="4" w16cid:durableId="1766851071">
    <w:abstractNumId w:val="4"/>
  </w:num>
  <w:num w:numId="5" w16cid:durableId="147260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8F4"/>
    <w:rsid w:val="00006DDF"/>
    <w:rsid w:val="00007DF2"/>
    <w:rsid w:val="000376D3"/>
    <w:rsid w:val="00050638"/>
    <w:rsid w:val="00051AD5"/>
    <w:rsid w:val="00051B98"/>
    <w:rsid w:val="000564BD"/>
    <w:rsid w:val="00067785"/>
    <w:rsid w:val="000771A8"/>
    <w:rsid w:val="000A27BE"/>
    <w:rsid w:val="000B33C3"/>
    <w:rsid w:val="000C76C7"/>
    <w:rsid w:val="000E1F91"/>
    <w:rsid w:val="000F0A61"/>
    <w:rsid w:val="000F5388"/>
    <w:rsid w:val="000F77BF"/>
    <w:rsid w:val="00105C32"/>
    <w:rsid w:val="001129B2"/>
    <w:rsid w:val="0011738D"/>
    <w:rsid w:val="00156778"/>
    <w:rsid w:val="00156859"/>
    <w:rsid w:val="00162194"/>
    <w:rsid w:val="001644E0"/>
    <w:rsid w:val="001910A7"/>
    <w:rsid w:val="00197A76"/>
    <w:rsid w:val="001A5756"/>
    <w:rsid w:val="001C38A8"/>
    <w:rsid w:val="001C3A6A"/>
    <w:rsid w:val="001C7E4B"/>
    <w:rsid w:val="001F1AC5"/>
    <w:rsid w:val="001F6AF2"/>
    <w:rsid w:val="00204393"/>
    <w:rsid w:val="00210240"/>
    <w:rsid w:val="0022036D"/>
    <w:rsid w:val="00237074"/>
    <w:rsid w:val="00245348"/>
    <w:rsid w:val="002470B4"/>
    <w:rsid w:val="00253152"/>
    <w:rsid w:val="002606D2"/>
    <w:rsid w:val="00264C33"/>
    <w:rsid w:val="0027371E"/>
    <w:rsid w:val="00282608"/>
    <w:rsid w:val="002A38F4"/>
    <w:rsid w:val="002B429A"/>
    <w:rsid w:val="002D127B"/>
    <w:rsid w:val="002D597C"/>
    <w:rsid w:val="002D5D50"/>
    <w:rsid w:val="002E6BFF"/>
    <w:rsid w:val="002E7BEC"/>
    <w:rsid w:val="002F0642"/>
    <w:rsid w:val="00300127"/>
    <w:rsid w:val="003166A3"/>
    <w:rsid w:val="00344DF1"/>
    <w:rsid w:val="0034507F"/>
    <w:rsid w:val="00352609"/>
    <w:rsid w:val="003872B7"/>
    <w:rsid w:val="00391CE0"/>
    <w:rsid w:val="003A2963"/>
    <w:rsid w:val="003B2893"/>
    <w:rsid w:val="003D464E"/>
    <w:rsid w:val="003E02DE"/>
    <w:rsid w:val="003E5660"/>
    <w:rsid w:val="003E5CF3"/>
    <w:rsid w:val="003F636F"/>
    <w:rsid w:val="00413E33"/>
    <w:rsid w:val="00422ECA"/>
    <w:rsid w:val="00423B4D"/>
    <w:rsid w:val="004414D5"/>
    <w:rsid w:val="00461939"/>
    <w:rsid w:val="004625CB"/>
    <w:rsid w:val="004629B4"/>
    <w:rsid w:val="00472707"/>
    <w:rsid w:val="00480BD4"/>
    <w:rsid w:val="00487C6D"/>
    <w:rsid w:val="00492932"/>
    <w:rsid w:val="00492B5E"/>
    <w:rsid w:val="00495FCA"/>
    <w:rsid w:val="004A40E3"/>
    <w:rsid w:val="004B3BF7"/>
    <w:rsid w:val="004B6C2E"/>
    <w:rsid w:val="004B7374"/>
    <w:rsid w:val="004C2A9B"/>
    <w:rsid w:val="004C4637"/>
    <w:rsid w:val="004C5F9E"/>
    <w:rsid w:val="004E6F81"/>
    <w:rsid w:val="00505AB5"/>
    <w:rsid w:val="0051773D"/>
    <w:rsid w:val="00523CF7"/>
    <w:rsid w:val="0054725F"/>
    <w:rsid w:val="0055331E"/>
    <w:rsid w:val="0055380C"/>
    <w:rsid w:val="005604EC"/>
    <w:rsid w:val="00566162"/>
    <w:rsid w:val="005733AD"/>
    <w:rsid w:val="00585472"/>
    <w:rsid w:val="00587BBE"/>
    <w:rsid w:val="0059016F"/>
    <w:rsid w:val="005959E9"/>
    <w:rsid w:val="005A714B"/>
    <w:rsid w:val="005B0675"/>
    <w:rsid w:val="005B528A"/>
    <w:rsid w:val="005C1CBB"/>
    <w:rsid w:val="005F0443"/>
    <w:rsid w:val="005F0C15"/>
    <w:rsid w:val="005F474C"/>
    <w:rsid w:val="005F6197"/>
    <w:rsid w:val="00610A14"/>
    <w:rsid w:val="00611963"/>
    <w:rsid w:val="00613498"/>
    <w:rsid w:val="0061536E"/>
    <w:rsid w:val="0061595E"/>
    <w:rsid w:val="0061764A"/>
    <w:rsid w:val="00642413"/>
    <w:rsid w:val="006466DB"/>
    <w:rsid w:val="0065437F"/>
    <w:rsid w:val="006632E9"/>
    <w:rsid w:val="00665474"/>
    <w:rsid w:val="006815DC"/>
    <w:rsid w:val="00686688"/>
    <w:rsid w:val="00691036"/>
    <w:rsid w:val="00691324"/>
    <w:rsid w:val="006962E5"/>
    <w:rsid w:val="006C3798"/>
    <w:rsid w:val="006C5B7D"/>
    <w:rsid w:val="006D6A1C"/>
    <w:rsid w:val="006E2676"/>
    <w:rsid w:val="006E746E"/>
    <w:rsid w:val="006F0C23"/>
    <w:rsid w:val="006F1F60"/>
    <w:rsid w:val="00707762"/>
    <w:rsid w:val="00715F0F"/>
    <w:rsid w:val="00741816"/>
    <w:rsid w:val="00744A99"/>
    <w:rsid w:val="00754852"/>
    <w:rsid w:val="00767DFE"/>
    <w:rsid w:val="00777C0E"/>
    <w:rsid w:val="00790ACB"/>
    <w:rsid w:val="00793101"/>
    <w:rsid w:val="007A5214"/>
    <w:rsid w:val="007D48B6"/>
    <w:rsid w:val="007F277C"/>
    <w:rsid w:val="007F5139"/>
    <w:rsid w:val="007F5D95"/>
    <w:rsid w:val="00801B61"/>
    <w:rsid w:val="00803730"/>
    <w:rsid w:val="00804481"/>
    <w:rsid w:val="00812C97"/>
    <w:rsid w:val="00815AE1"/>
    <w:rsid w:val="008266CF"/>
    <w:rsid w:val="0085782E"/>
    <w:rsid w:val="00896E0D"/>
    <w:rsid w:val="00897480"/>
    <w:rsid w:val="008A4671"/>
    <w:rsid w:val="008A48D0"/>
    <w:rsid w:val="008B0DCD"/>
    <w:rsid w:val="008B516A"/>
    <w:rsid w:val="008B62E5"/>
    <w:rsid w:val="008C1624"/>
    <w:rsid w:val="008C6380"/>
    <w:rsid w:val="008D443D"/>
    <w:rsid w:val="008E2F02"/>
    <w:rsid w:val="008E3E23"/>
    <w:rsid w:val="008E6CBA"/>
    <w:rsid w:val="008E7AEC"/>
    <w:rsid w:val="008F0E94"/>
    <w:rsid w:val="008F7CA4"/>
    <w:rsid w:val="0090034D"/>
    <w:rsid w:val="0090517D"/>
    <w:rsid w:val="00905C65"/>
    <w:rsid w:val="0091234A"/>
    <w:rsid w:val="00920F3C"/>
    <w:rsid w:val="00924D35"/>
    <w:rsid w:val="00951EA3"/>
    <w:rsid w:val="009626B6"/>
    <w:rsid w:val="00966E46"/>
    <w:rsid w:val="009676CE"/>
    <w:rsid w:val="00971D64"/>
    <w:rsid w:val="0097662A"/>
    <w:rsid w:val="00980888"/>
    <w:rsid w:val="00982465"/>
    <w:rsid w:val="009858A3"/>
    <w:rsid w:val="0099333E"/>
    <w:rsid w:val="00993719"/>
    <w:rsid w:val="009D7CD0"/>
    <w:rsid w:val="009F322E"/>
    <w:rsid w:val="00A00EFE"/>
    <w:rsid w:val="00A2145A"/>
    <w:rsid w:val="00A24A05"/>
    <w:rsid w:val="00A30622"/>
    <w:rsid w:val="00A33075"/>
    <w:rsid w:val="00A52227"/>
    <w:rsid w:val="00A578D5"/>
    <w:rsid w:val="00A70F64"/>
    <w:rsid w:val="00A87ED7"/>
    <w:rsid w:val="00A91622"/>
    <w:rsid w:val="00AA3C1A"/>
    <w:rsid w:val="00AB4B0E"/>
    <w:rsid w:val="00AC5F1A"/>
    <w:rsid w:val="00AC75F1"/>
    <w:rsid w:val="00AD05D8"/>
    <w:rsid w:val="00AE2EE9"/>
    <w:rsid w:val="00B01508"/>
    <w:rsid w:val="00B0396D"/>
    <w:rsid w:val="00B05CB5"/>
    <w:rsid w:val="00B13C65"/>
    <w:rsid w:val="00B20019"/>
    <w:rsid w:val="00B3041B"/>
    <w:rsid w:val="00B313C0"/>
    <w:rsid w:val="00B459CB"/>
    <w:rsid w:val="00B54341"/>
    <w:rsid w:val="00B614DD"/>
    <w:rsid w:val="00B737B8"/>
    <w:rsid w:val="00B81EA2"/>
    <w:rsid w:val="00B90E2D"/>
    <w:rsid w:val="00B96843"/>
    <w:rsid w:val="00BA566C"/>
    <w:rsid w:val="00BA6259"/>
    <w:rsid w:val="00BB264B"/>
    <w:rsid w:val="00BB4C6B"/>
    <w:rsid w:val="00BB5754"/>
    <w:rsid w:val="00BC391F"/>
    <w:rsid w:val="00BC3FB3"/>
    <w:rsid w:val="00BC7124"/>
    <w:rsid w:val="00BD7BF4"/>
    <w:rsid w:val="00BF5691"/>
    <w:rsid w:val="00BF72DB"/>
    <w:rsid w:val="00C020F7"/>
    <w:rsid w:val="00C23B37"/>
    <w:rsid w:val="00C2406B"/>
    <w:rsid w:val="00C36099"/>
    <w:rsid w:val="00C45196"/>
    <w:rsid w:val="00C659DC"/>
    <w:rsid w:val="00C703F4"/>
    <w:rsid w:val="00C70A48"/>
    <w:rsid w:val="00C734B8"/>
    <w:rsid w:val="00C7433F"/>
    <w:rsid w:val="00C74901"/>
    <w:rsid w:val="00C82BD0"/>
    <w:rsid w:val="00C82D09"/>
    <w:rsid w:val="00C919CD"/>
    <w:rsid w:val="00CA194B"/>
    <w:rsid w:val="00CB2811"/>
    <w:rsid w:val="00CC4BFF"/>
    <w:rsid w:val="00CD24CD"/>
    <w:rsid w:val="00CE530F"/>
    <w:rsid w:val="00D0073B"/>
    <w:rsid w:val="00D15E3E"/>
    <w:rsid w:val="00D3332F"/>
    <w:rsid w:val="00D44065"/>
    <w:rsid w:val="00D552D3"/>
    <w:rsid w:val="00D561C9"/>
    <w:rsid w:val="00D76059"/>
    <w:rsid w:val="00D8352C"/>
    <w:rsid w:val="00D86906"/>
    <w:rsid w:val="00D86D80"/>
    <w:rsid w:val="00DC3720"/>
    <w:rsid w:val="00DD0E1B"/>
    <w:rsid w:val="00DE6281"/>
    <w:rsid w:val="00DF1577"/>
    <w:rsid w:val="00DF45E0"/>
    <w:rsid w:val="00E037C9"/>
    <w:rsid w:val="00E06E9A"/>
    <w:rsid w:val="00E1138C"/>
    <w:rsid w:val="00E232E6"/>
    <w:rsid w:val="00E3420B"/>
    <w:rsid w:val="00E36892"/>
    <w:rsid w:val="00E37837"/>
    <w:rsid w:val="00E43FFC"/>
    <w:rsid w:val="00E535FF"/>
    <w:rsid w:val="00E55027"/>
    <w:rsid w:val="00E672A3"/>
    <w:rsid w:val="00E8073B"/>
    <w:rsid w:val="00E82EC1"/>
    <w:rsid w:val="00ED2552"/>
    <w:rsid w:val="00EE4119"/>
    <w:rsid w:val="00EE65CA"/>
    <w:rsid w:val="00EE6A45"/>
    <w:rsid w:val="00EF1A6C"/>
    <w:rsid w:val="00F07466"/>
    <w:rsid w:val="00F2183F"/>
    <w:rsid w:val="00F2762C"/>
    <w:rsid w:val="00F324D2"/>
    <w:rsid w:val="00F4342D"/>
    <w:rsid w:val="00F51477"/>
    <w:rsid w:val="00F5185C"/>
    <w:rsid w:val="00F57907"/>
    <w:rsid w:val="00F930A0"/>
    <w:rsid w:val="00F968F7"/>
    <w:rsid w:val="00FA2372"/>
    <w:rsid w:val="00FA69D3"/>
    <w:rsid w:val="00FA77D0"/>
    <w:rsid w:val="00FB1A6A"/>
    <w:rsid w:val="00FC449A"/>
    <w:rsid w:val="00FD0616"/>
    <w:rsid w:val="00FD2879"/>
    <w:rsid w:val="00FD31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5D2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8F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A38F4"/>
    <w:pPr>
      <w:spacing w:after="0" w:line="240" w:lineRule="auto"/>
      <w:jc w:val="both"/>
    </w:pPr>
    <w:rPr>
      <w:rFonts w:ascii="Book Antiqua" w:eastAsia="Times New Roman" w:hAnsi="Book Antiqua"/>
      <w:sz w:val="20"/>
      <w:szCs w:val="24"/>
    </w:rPr>
  </w:style>
  <w:style w:type="character" w:customStyle="1" w:styleId="BodyTextChar">
    <w:name w:val="Body Text Char"/>
    <w:link w:val="BodyText"/>
    <w:rsid w:val="002A38F4"/>
    <w:rPr>
      <w:rFonts w:ascii="Book Antiqua" w:eastAsia="Times New Roman" w:hAnsi="Book Antiqua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2A3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A38F4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2BD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82BD0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C82BD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B4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B4D"/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B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B4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40FD5-81BF-4129-9EF2-CC1388ED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Samuel Boamah's Standard Resume</vt:lpstr>
    </vt:vector>
  </TitlesOfParts>
  <LinksUpToDate>false</LinksUpToDate>
  <CharactersWithSpaces>3670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Samuel Boamah's Standard Resume</dc:title>
  <dc:creator/>
  <cp:lastModifiedBy/>
  <cp:revision>1</cp:revision>
  <dcterms:created xsi:type="dcterms:W3CDTF">2025-07-25T02:54:00Z</dcterms:created>
  <dcterms:modified xsi:type="dcterms:W3CDTF">2025-07-25T02:54:00Z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prcv4mi-v1</vt:lpwstr>
  </property>
  <property fmtid="{D5CDD505-2E9C-101B-9397-08002B2CF9AE}" pid="3" name="tal_id">
    <vt:lpwstr>2bed6c19545cd6860be5f323016bd49d</vt:lpwstr>
  </property>
  <property fmtid="{D5CDD505-2E9C-101B-9397-08002B2CF9AE}" pid="4" name="GrammarlyDocumentId">
    <vt:lpwstr>346be660-058d-44c5-b2e4-86adc9c8455f</vt:lpwstr>
  </property>
</Properties>
</file>